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71400AE5"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2021</w:t>
      </w:r>
    </w:p>
    <w:p w14:paraId="721139C6"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w:t>
      </w:r>
      <w:r w:rsidR="00DA58E0">
        <w:rPr>
          <w:rFonts w:cs="Arial"/>
          <w:b/>
          <w:bCs/>
          <w:sz w:val="28"/>
          <w:szCs w:val="28"/>
        </w:rPr>
        <w:t>Non</w:t>
      </w:r>
      <w:r w:rsidR="000C22CF">
        <w:rPr>
          <w:rFonts w:cs="Arial"/>
          <w:b/>
          <w:bCs/>
          <w:sz w:val="28"/>
          <w:szCs w:val="28"/>
        </w:rPr>
        <w:t>-</w:t>
      </w:r>
      <w:r w:rsidR="001A6D9A">
        <w:rPr>
          <w:rFonts w:cs="Arial"/>
          <w:b/>
          <w:bCs/>
          <w:sz w:val="28"/>
          <w:szCs w:val="28"/>
        </w:rPr>
        <w:t>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5EDE2401"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 (MCST)</w:t>
      </w:r>
      <w:r w:rsidR="00AA0248">
        <w:rPr>
          <w:rFonts w:ascii="Times New Roman" w:hAnsi="Times New Roman"/>
          <w:sz w:val="24"/>
          <w:lang w:val="mt-MT"/>
        </w:rPr>
        <w:t xml:space="preserve"> </w:t>
      </w:r>
      <w:r w:rsidR="00AA0248" w:rsidRPr="00B04AF2">
        <w:rPr>
          <w:rFonts w:ascii="Times New Roman" w:hAnsi="Times New Roman"/>
          <w:sz w:val="24"/>
        </w:rPr>
        <w:t>for and on behalf the Foundation for Science and Technology</w:t>
      </w:r>
      <w:r w:rsidRPr="003B2367">
        <w:rPr>
          <w:rFonts w:ascii="Times New Roman" w:hAnsi="Times New Roman"/>
          <w:sz w:val="24"/>
        </w:rPr>
        <w:t xml:space="preserve">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ERC (European Research Council)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6B8328AB" w:rsidR="00CF3F77" w:rsidRPr="00CF3F77" w:rsidRDefault="00CF3F77" w:rsidP="00CF3F77">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0"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1"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54B45FB7" w:rsidR="00DA77B1" w:rsidRDefault="00DA77B1" w:rsidP="00DA77B1">
      <w:pPr>
        <w:pStyle w:val="ListParagraph"/>
        <w:shd w:val="clear" w:color="auto" w:fill="FFFFFF"/>
        <w:spacing w:before="280" w:after="240" w:line="360" w:lineRule="auto"/>
        <w:jc w:val="both"/>
        <w:rPr>
          <w:rFonts w:ascii="Times New Roman" w:hAnsi="Times New Roman"/>
          <w:sz w:val="24"/>
        </w:rPr>
      </w:pPr>
      <w:bookmarkStart w:id="36" w:name="_Hlk66710904"/>
      <w:r w:rsidRPr="00DA77B1">
        <w:rPr>
          <w:rFonts w:ascii="Times New Roman" w:hAnsi="Times New Roman"/>
          <w:sz w:val="24"/>
        </w:rPr>
        <w:t xml:space="preserve">The ERC underlines that the decision </w:t>
      </w:r>
      <w:r w:rsidR="00B04AF2">
        <w:rPr>
          <w:rFonts w:ascii="Times New Roman" w:hAnsi="Times New Roman"/>
          <w:sz w:val="24"/>
        </w:rPr>
        <w:t xml:space="preserve">for mentors to accept or otherwise the offer from the applicants, </w:t>
      </w:r>
      <w:r w:rsidR="00917A52">
        <w:rPr>
          <w:rFonts w:ascii="Times New Roman" w:hAnsi="Times New Roman"/>
          <w:sz w:val="24"/>
        </w:rPr>
        <w:t>is</w:t>
      </w:r>
      <w:r w:rsidR="00B04AF2">
        <w:rPr>
          <w:rFonts w:ascii="Times New Roman" w:hAnsi="Times New Roman"/>
          <w:sz w:val="24"/>
        </w:rPr>
        <w:t xml:space="preserve"> entirely with the mentors.</w:t>
      </w:r>
      <w:bookmarkEnd w:id="36"/>
      <w:r w:rsidRPr="00DA77B1">
        <w:rPr>
          <w:rFonts w:ascii="Times New Roman" w:hAnsi="Times New Roman"/>
          <w:sz w:val="24"/>
        </w:rPr>
        <w:t xml:space="preserve"> </w:t>
      </w:r>
      <w:r w:rsidR="00937879" w:rsidRPr="00937879">
        <w:rPr>
          <w:rFonts w:ascii="Times New Roman" w:hAnsi="Times New Roman"/>
          <w:sz w:val="24"/>
        </w:rPr>
        <w:t>ERC will not intervene in</w:t>
      </w:r>
      <w:r w:rsidR="00AA0248">
        <w:rPr>
          <w:rFonts w:ascii="Times New Roman" w:hAnsi="Times New Roman"/>
          <w:sz w:val="24"/>
          <w:lang w:val="mt-MT"/>
        </w:rPr>
        <w:t xml:space="preserve"> the</w:t>
      </w:r>
      <w:r w:rsidR="00937879" w:rsidRPr="00937879">
        <w:rPr>
          <w:rFonts w:ascii="Times New Roman" w:hAnsi="Times New Roman"/>
          <w:sz w:val="24"/>
        </w:rPr>
        <w:t xml:space="preserve"> assignment of a </w:t>
      </w:r>
      <w:r w:rsidR="00937879" w:rsidRPr="00937879">
        <w:rPr>
          <w:rFonts w:ascii="Times New Roman" w:hAnsi="Times New Roman"/>
          <w:sz w:val="24"/>
        </w:rPr>
        <w:lastRenderedPageBreak/>
        <w:t>specific 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4EF15205"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B04AF2">
      <w:pPr>
        <w:shd w:val="clear" w:color="auto" w:fill="FFFFFF"/>
        <w:spacing w:after="300" w:line="360" w:lineRule="atLeast"/>
        <w:ind w:left="720"/>
        <w:jc w:val="both"/>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71D64672" w14:textId="1DECA19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445971EF" w14:textId="7777777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62C135B" w14:textId="15453F44" w:rsidR="000702DB" w:rsidRPr="000702DB" w:rsidRDefault="000702DB" w:rsidP="000702DB">
      <w:pPr>
        <w:pStyle w:val="ListParagraph"/>
        <w:numPr>
          <w:ilvl w:val="0"/>
          <w:numId w:val="30"/>
        </w:numPr>
        <w:spacing w:line="288" w:lineRule="auto"/>
        <w:rPr>
          <w:rFonts w:cs="Arial"/>
          <w:b/>
          <w:bCs/>
          <w:sz w:val="32"/>
          <w:szCs w:val="20"/>
        </w:rPr>
      </w:pPr>
      <w:r>
        <w:rPr>
          <w:rFonts w:ascii="Times New Roman" w:hAnsi="Times New Roman"/>
          <w:b/>
          <w:sz w:val="24"/>
        </w:rPr>
        <w:t>Candidate</w:t>
      </w:r>
      <w:r>
        <w:rPr>
          <w:rFonts w:ascii="Times New Roman" w:hAnsi="Times New Roman"/>
          <w:sz w:val="24"/>
        </w:rPr>
        <w:t xml:space="preserve"> </w:t>
      </w:r>
      <w:r w:rsidR="00A40674" w:rsidRPr="00A40674">
        <w:rPr>
          <w:rFonts w:ascii="Times New Roman" w:hAnsi="Times New Roman"/>
          <w:sz w:val="24"/>
        </w:rPr>
        <w:t>shall have the meaning of the ERC Principal Investigator who will apply for the ERC Grant.</w:t>
      </w:r>
    </w:p>
    <w:p w14:paraId="7E4DEE76" w14:textId="653566F0"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4CBAF581" w14:textId="4DA3DFA2" w:rsidR="00A61EE3" w:rsidRPr="00AD3B98" w:rsidRDefault="00A61EE3" w:rsidP="00A61EE3">
      <w:pPr>
        <w:pStyle w:val="ListParagraph"/>
        <w:numPr>
          <w:ilvl w:val="0"/>
          <w:numId w:val="30"/>
        </w:numPr>
        <w:spacing w:line="360" w:lineRule="auto"/>
        <w:jc w:val="both"/>
        <w:rPr>
          <w:rFonts w:ascii="Times New Roman" w:hAnsi="Times New Roman"/>
          <w:sz w:val="24"/>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2" w:history="1">
        <w:r>
          <w:rPr>
            <w:rStyle w:val="Hyperlink"/>
            <w:rFonts w:ascii="Times New Roman" w:hAnsi="Times New Roman"/>
            <w:sz w:val="24"/>
          </w:rPr>
          <w:t>here.</w:t>
        </w:r>
      </w:hyperlink>
    </w:p>
    <w:p w14:paraId="316825B8" w14:textId="7C631E90" w:rsidR="00D75A2B" w:rsidRDefault="005C4E97" w:rsidP="0079090F">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w:t>
      </w:r>
      <w:r w:rsidR="00D75A2B" w:rsidRPr="00D75A2B">
        <w:rPr>
          <w:rFonts w:ascii="Times New Roman" w:hAnsi="Times New Roman"/>
          <w:b/>
          <w:bCs/>
          <w:sz w:val="24"/>
        </w:rPr>
        <w:t xml:space="preserve">Institution </w:t>
      </w:r>
      <w:r w:rsidR="00D75A2B" w:rsidRPr="00D75A2B">
        <w:rPr>
          <w:rFonts w:ascii="Times New Roman" w:hAnsi="Times New Roman"/>
          <w:sz w:val="24"/>
        </w:rPr>
        <w:t xml:space="preserve">may be any legal entity </w:t>
      </w:r>
      <w:r w:rsidR="00D75A2B">
        <w:rPr>
          <w:rFonts w:ascii="Times New Roman" w:hAnsi="Times New Roman"/>
          <w:sz w:val="24"/>
        </w:rPr>
        <w:t xml:space="preserve">in Malta </w:t>
      </w:r>
      <w:r w:rsidR="00D75A2B" w:rsidRPr="00D75A2B">
        <w:rPr>
          <w:rFonts w:ascii="Times New Roman" w:hAnsi="Times New Roman"/>
          <w:sz w:val="24"/>
        </w:rPr>
        <w:t>(public or private), which has the infrastructure and capacity to carry out frontier research projects. In ERC grants</w:t>
      </w:r>
      <w:r w:rsidR="00D75A2B">
        <w:rPr>
          <w:rFonts w:ascii="Times New Roman" w:hAnsi="Times New Roman"/>
          <w:sz w:val="24"/>
        </w:rPr>
        <w:t>, t</w:t>
      </w:r>
      <w:r w:rsidR="00D75A2B" w:rsidRPr="00D75A2B">
        <w:rPr>
          <w:rFonts w:ascii="Times New Roman" w:hAnsi="Times New Roman"/>
          <w:sz w:val="24"/>
        </w:rPr>
        <w:t xml:space="preserve">he Host </w:t>
      </w:r>
      <w:r w:rsidR="00D75A2B" w:rsidRPr="00D75A2B">
        <w:rPr>
          <w:rFonts w:ascii="Times New Roman" w:hAnsi="Times New Roman"/>
          <w:sz w:val="24"/>
        </w:rPr>
        <w:lastRenderedPageBreak/>
        <w:t xml:space="preserve">Institution </w:t>
      </w:r>
      <w:r w:rsidR="00D75A2B">
        <w:rPr>
          <w:rFonts w:ascii="Times New Roman" w:hAnsi="Times New Roman"/>
          <w:sz w:val="24"/>
        </w:rPr>
        <w:t>is</w:t>
      </w:r>
      <w:r w:rsidR="00D75A2B" w:rsidRPr="00D75A2B">
        <w:rPr>
          <w:rFonts w:ascii="Times New Roman" w:hAnsi="Times New Roman"/>
          <w:sz w:val="24"/>
        </w:rPr>
        <w:t xml:space="preserve"> the only participating entity (single beneficiary)</w:t>
      </w:r>
      <w:r w:rsidR="00D75A2B">
        <w:rPr>
          <w:rFonts w:ascii="Times New Roman" w:hAnsi="Times New Roman"/>
          <w:sz w:val="24"/>
        </w:rPr>
        <w:t xml:space="preserve"> and it</w:t>
      </w:r>
      <w:r w:rsidR="00D75A2B" w:rsidRPr="00D75A2B">
        <w:t xml:space="preserve"> </w:t>
      </w:r>
      <w:r w:rsidR="00D75A2B"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Investigator with the appropriate scientific and administrative environment to conduct the research. </w:t>
      </w:r>
    </w:p>
    <w:p w14:paraId="2369F093"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Public Entity</w:t>
      </w:r>
      <w:r w:rsidRPr="00F547B9">
        <w:rPr>
          <w:rFonts w:ascii="Times New Roman" w:hAnsi="Times New Roman"/>
          <w:sz w:val="24"/>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323EEC27" w14:textId="77777777" w:rsidR="00A61EE3" w:rsidRPr="00F547B9" w:rsidRDefault="00A61EE3" w:rsidP="00A61EE3">
      <w:pPr>
        <w:pStyle w:val="ListParagraph"/>
        <w:spacing w:line="360" w:lineRule="auto"/>
        <w:ind w:left="360"/>
        <w:jc w:val="both"/>
        <w:rPr>
          <w:rFonts w:ascii="Times New Roman" w:hAnsi="Times New Roman"/>
          <w:sz w:val="24"/>
        </w:rPr>
      </w:pPr>
      <w:r w:rsidRPr="00F547B9">
        <w:rPr>
          <w:rFonts w:ascii="Times New Roman" w:hAnsi="Times New Roman"/>
          <w:sz w:val="24"/>
        </w:rPr>
        <w:t>If an economic activity cannot be separated from the exercise of public power, the activities exercised by that entity as a whole, remain connected with the exercise of those public powers and therefore fall outside the notion of an undertaking.</w:t>
      </w:r>
    </w:p>
    <w:p w14:paraId="32F66936"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 xml:space="preserve">Research and knowledge-dissemination organisation </w:t>
      </w:r>
      <w:r w:rsidRPr="00F547B9">
        <w:rPr>
          <w:rFonts w:ascii="Times New Roman" w:hAnsi="Times New Roman"/>
          <w:sz w:val="24"/>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546BED71" w14:textId="2DD3AAA1" w:rsidR="00A61EE3" w:rsidRPr="00FC65E7" w:rsidRDefault="00A61EE3" w:rsidP="00FC65E7">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lastRenderedPageBreak/>
        <w:t>Research and Development</w:t>
      </w:r>
      <w:r w:rsidRPr="00F547B9">
        <w:rPr>
          <w:rFonts w:ascii="Times New Roman" w:hAnsi="Times New Roman"/>
          <w:sz w:val="24"/>
        </w:rPr>
        <w:t xml:space="preserve"> is defined as the systematic investigation, work or research carried out in</w:t>
      </w:r>
      <w:r w:rsidR="00DA00E3">
        <w:rPr>
          <w:rFonts w:ascii="Times New Roman" w:hAnsi="Times New Roman"/>
          <w:sz w:val="24"/>
        </w:rPr>
        <w:t xml:space="preserve"> </w:t>
      </w:r>
      <w:r w:rsidRPr="00FC65E7">
        <w:rPr>
          <w:rFonts w:ascii="Times New Roman" w:hAnsi="Times New Roman"/>
          <w:sz w:val="24"/>
        </w:rPr>
        <w:t>any field of science or technology through experiment, theoretical work or analysis undertaken in order to acquire new knowledge, primarily directed towards a specific practical aim or objective, and includes:</w:t>
      </w:r>
    </w:p>
    <w:p w14:paraId="4B80E4A9"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Fundamental Research</w:t>
      </w:r>
      <w:r w:rsidRPr="00F547B9">
        <w:rPr>
          <w:rFonts w:ascii="Times New Roman" w:hAnsi="Times New Roman"/>
          <w:sz w:val="24"/>
        </w:rPr>
        <w:t xml:space="preserve"> means experimental or theoretical work undertaken primarily to acquire new knowledge of the underlying foundations of phenomena and observable facts, without any direct commercial application or use in view.</w:t>
      </w:r>
    </w:p>
    <w:p w14:paraId="2AD114B7"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Industrial Research</w:t>
      </w:r>
      <w:r w:rsidRPr="00F547B9">
        <w:rPr>
          <w:rFonts w:ascii="Times New Roman" w:hAnsi="Times New Roman"/>
          <w:sz w:val="24"/>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32148AD8"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Experimental Development</w:t>
      </w:r>
      <w:r w:rsidRPr="00F547B9">
        <w:rPr>
          <w:rFonts w:ascii="Times New Roman" w:hAnsi="Times New Roman"/>
          <w:sz w:val="24"/>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p w14:paraId="591F5C8E" w14:textId="77777777" w:rsidR="00A61EE3" w:rsidRPr="00F547B9" w:rsidRDefault="00A61EE3" w:rsidP="00A61EE3">
      <w:pPr>
        <w:pStyle w:val="ListParagraph"/>
        <w:spacing w:line="360" w:lineRule="auto"/>
        <w:ind w:left="1080"/>
        <w:jc w:val="both"/>
        <w:rPr>
          <w:rFonts w:ascii="Times New Roman" w:hAnsi="Times New Roman"/>
          <w:sz w:val="24"/>
        </w:rPr>
      </w:pPr>
      <w:r w:rsidRPr="00F547B9">
        <w:rPr>
          <w:rFonts w:ascii="Times New Roman" w:hAnsi="Times New Roman"/>
          <w:sz w:val="24"/>
        </w:rPr>
        <w:t>Experimental development may comprise prototyping, demonstrating, piloting, testing and validation of new or improved products, processes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14:paraId="01987E7D" w14:textId="71CA00C6" w:rsidR="00A61EE3" w:rsidRPr="00F547B9" w:rsidRDefault="00A61EE3" w:rsidP="00F547B9">
      <w:pPr>
        <w:pStyle w:val="ListParagraph"/>
        <w:spacing w:line="360" w:lineRule="auto"/>
        <w:ind w:left="1080"/>
        <w:jc w:val="both"/>
        <w:rPr>
          <w:rFonts w:ascii="Times New Roman" w:hAnsi="Times New Roman"/>
          <w:sz w:val="24"/>
        </w:rPr>
      </w:pPr>
      <w:r w:rsidRPr="00F547B9">
        <w:rPr>
          <w:rFonts w:ascii="Times New Roman" w:hAnsi="Times New Roman"/>
          <w:sz w:val="24"/>
        </w:rPr>
        <w:t>Experimental development does not include routine or periodic changes made to existing products, production lines, manufacturing processes, services and other operations in progress, even if those changes may represent improvements.</w:t>
      </w:r>
    </w:p>
    <w:p w14:paraId="1631C21E" w14:textId="44BA0983" w:rsidR="00704C2A" w:rsidRDefault="0094587F" w:rsidP="00704C2A">
      <w:pPr>
        <w:pStyle w:val="ListParagraph"/>
        <w:numPr>
          <w:ilvl w:val="0"/>
          <w:numId w:val="38"/>
        </w:numPr>
        <w:spacing w:line="360" w:lineRule="auto"/>
        <w:jc w:val="both"/>
        <w:rPr>
          <w:rFonts w:ascii="Times New Roman" w:hAnsi="Times New Roman"/>
          <w:sz w:val="24"/>
        </w:rPr>
      </w:pPr>
      <w:r>
        <w:rPr>
          <w:rFonts w:ascii="Times New Roman" w:hAnsi="Times New Roman"/>
          <w:b/>
          <w:bCs/>
          <w:sz w:val="24"/>
        </w:rPr>
        <w:t>Principal</w:t>
      </w:r>
      <w:r w:rsidR="001B3C2B">
        <w:rPr>
          <w:rFonts w:ascii="Times New Roman" w:hAnsi="Times New Roman"/>
          <w:b/>
          <w:bCs/>
          <w:sz w:val="24"/>
        </w:rPr>
        <w:t xml:space="preserve"> Investigator</w:t>
      </w:r>
      <w:r w:rsidR="001B3C2B" w:rsidRPr="001B3C2B">
        <w:t xml:space="preserve"> </w:t>
      </w:r>
      <w:r w:rsidR="00704C2A">
        <w:rPr>
          <w:rFonts w:ascii="Times New Roman" w:hAnsi="Times New Roman"/>
          <w:sz w:val="24"/>
        </w:rPr>
        <w:t xml:space="preserve">is the project leader of the ERC project. He/she can be of any age and nationality and can be based in any country at moment of </w:t>
      </w:r>
      <w:r w:rsidR="00AA0248">
        <w:rPr>
          <w:rFonts w:ascii="Times New Roman" w:hAnsi="Times New Roman"/>
          <w:sz w:val="24"/>
          <w:lang w:val="mt-MT"/>
        </w:rPr>
        <w:t xml:space="preserve">submitting the </w:t>
      </w:r>
      <w:r w:rsidR="00704C2A">
        <w:rPr>
          <w:rFonts w:ascii="Times New Roman" w:hAnsi="Times New Roman"/>
          <w:sz w:val="24"/>
        </w:rPr>
        <w:t xml:space="preserve">application, as long as he/she intends to establish and conduct their research activity under the ERC Grant in Malta. </w:t>
      </w:r>
      <w:r w:rsidR="00704C2A">
        <w:rPr>
          <w:rFonts w:ascii="Times New Roman" w:hAnsi="Times New Roman"/>
          <w:sz w:val="24"/>
        </w:rPr>
        <w:lastRenderedPageBreak/>
        <w:t xml:space="preserve">Specific professional experience is requested for each ERC Grant and detailed in the </w:t>
      </w:r>
      <w:hyperlink r:id="rId13" w:history="1">
        <w:r w:rsidR="00704C2A" w:rsidRPr="00933FFF">
          <w:rPr>
            <w:rStyle w:val="Hyperlink"/>
            <w:rFonts w:ascii="Times New Roman" w:hAnsi="Times New Roman"/>
            <w:sz w:val="24"/>
          </w:rPr>
          <w:t>ERC Annual Work Programme</w:t>
        </w:r>
      </w:hyperlink>
      <w:r w:rsidR="00704C2A">
        <w:rPr>
          <w:rFonts w:ascii="Times New Roman" w:hAnsi="Times New Roman"/>
          <w:sz w:val="24"/>
        </w:rPr>
        <w:t xml:space="preserve"> and on the </w:t>
      </w:r>
      <w:hyperlink r:id="rId14" w:history="1">
        <w:r w:rsidR="00704C2A">
          <w:rPr>
            <w:rStyle w:val="Hyperlink"/>
            <w:rFonts w:ascii="Times New Roman" w:hAnsi="Times New Roman"/>
            <w:sz w:val="24"/>
          </w:rPr>
          <w:t>ERC website</w:t>
        </w:r>
      </w:hyperlink>
      <w:r w:rsidR="00704C2A">
        <w:rPr>
          <w:rFonts w:ascii="Times New Roman" w:hAnsi="Times New Roman"/>
          <w:sz w:val="24"/>
        </w:rPr>
        <w:t>.</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0CF5C0B8" w14:textId="3E1556BB" w:rsidR="005423E6" w:rsidRPr="003B2367" w:rsidRDefault="00950A82" w:rsidP="005423E6">
      <w:pPr>
        <w:spacing w:after="200" w:line="360" w:lineRule="auto"/>
        <w:jc w:val="both"/>
        <w:rPr>
          <w:rFonts w:ascii="Times New Roman" w:hAnsi="Times New Roman"/>
          <w:sz w:val="24"/>
          <w:lang w:eastAsia="en-GB"/>
        </w:rPr>
      </w:pPr>
      <w:r>
        <w:rPr>
          <w:rFonts w:ascii="Times New Roman" w:hAnsi="Times New Roman"/>
          <w:sz w:val="24"/>
          <w:lang w:eastAsia="en-GB"/>
        </w:rPr>
        <w:t xml:space="preserve">Maltese entities that plan to act as Host Institutions are eligible to benefit from the Scheme. </w:t>
      </w:r>
      <w:r w:rsidR="005423E6" w:rsidRPr="003B2367">
        <w:rPr>
          <w:rFonts w:ascii="Times New Roman" w:hAnsi="Times New Roman"/>
          <w:sz w:val="24"/>
          <w:lang w:eastAsia="en-GB"/>
        </w:rPr>
        <w:t xml:space="preserve">The </w:t>
      </w:r>
      <w:r>
        <w:rPr>
          <w:rFonts w:ascii="Times New Roman" w:hAnsi="Times New Roman"/>
          <w:sz w:val="24"/>
          <w:lang w:eastAsia="en-GB"/>
        </w:rPr>
        <w:t>A</w:t>
      </w:r>
      <w:r w:rsidR="005423E6" w:rsidRPr="003B2367">
        <w:rPr>
          <w:rFonts w:ascii="Times New Roman" w:hAnsi="Times New Roman"/>
          <w:sz w:val="24"/>
          <w:lang w:eastAsia="en-GB"/>
        </w:rPr>
        <w:t>pplicant must be an entity registered as one of the following:</w:t>
      </w:r>
    </w:p>
    <w:p w14:paraId="4AEF177A" w14:textId="76CDDCBA"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 </w:t>
      </w:r>
      <w:r w:rsidR="00703D46" w:rsidRPr="003B2367">
        <w:rPr>
          <w:rFonts w:ascii="Times New Roman" w:hAnsi="Times New Roman"/>
          <w:sz w:val="24"/>
          <w:lang w:eastAsia="en-GB"/>
        </w:rPr>
        <w:t xml:space="preserve"> </w:t>
      </w:r>
      <w:r w:rsidRPr="003B2367">
        <w:rPr>
          <w:rFonts w:ascii="Times New Roman" w:hAnsi="Times New Roman"/>
          <w:b/>
          <w:bCs/>
          <w:sz w:val="24"/>
          <w:lang w:eastAsia="en-GB"/>
        </w:rPr>
        <w:t>Public research and knowledge-dissemination organisation</w:t>
      </w:r>
      <w:r w:rsidR="005C464D" w:rsidRPr="003B2367">
        <w:rPr>
          <w:rFonts w:ascii="Times New Roman" w:hAnsi="Times New Roman"/>
          <w:b/>
          <w:bCs/>
          <w:sz w:val="24"/>
          <w:lang w:eastAsia="en-GB"/>
        </w:rPr>
        <w:t xml:space="preserve"> whose main activities are education which is not offered for remuneration and independent research </w:t>
      </w:r>
      <w:r w:rsidR="000B45FB">
        <w:rPr>
          <w:rFonts w:ascii="Times New Roman" w:hAnsi="Times New Roman"/>
          <w:b/>
          <w:bCs/>
          <w:sz w:val="24"/>
          <w:lang w:eastAsia="en-GB"/>
        </w:rPr>
        <w:t xml:space="preserve">organisation </w:t>
      </w:r>
      <w:r w:rsidR="005C464D" w:rsidRPr="003B2367">
        <w:rPr>
          <w:rFonts w:ascii="Times New Roman" w:hAnsi="Times New Roman"/>
          <w:b/>
          <w:bCs/>
          <w:sz w:val="24"/>
          <w:lang w:eastAsia="en-GB"/>
        </w:rPr>
        <w:t xml:space="preserve">whose results are widely disseminated on a non-discriminatory </w:t>
      </w:r>
      <w:r w:rsidR="00236F50" w:rsidRPr="003B2367">
        <w:rPr>
          <w:rFonts w:ascii="Times New Roman" w:hAnsi="Times New Roman"/>
          <w:b/>
          <w:bCs/>
          <w:sz w:val="24"/>
          <w:lang w:eastAsia="en-GB"/>
        </w:rPr>
        <w:t>basis.</w:t>
      </w:r>
    </w:p>
    <w:p w14:paraId="51648BD8" w14:textId="219810AD"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ii. </w:t>
      </w:r>
      <w:r w:rsidRPr="003B2367">
        <w:rPr>
          <w:rFonts w:ascii="Times New Roman" w:hAnsi="Times New Roman"/>
          <w:b/>
          <w:bCs/>
          <w:sz w:val="24"/>
          <w:lang w:eastAsia="en-GB"/>
        </w:rPr>
        <w:t>Public entity</w:t>
      </w:r>
      <w:r w:rsidR="005C464D" w:rsidRPr="003B2367">
        <w:rPr>
          <w:rFonts w:ascii="Times New Roman" w:hAnsi="Times New Roman"/>
          <w:b/>
          <w:bCs/>
          <w:sz w:val="24"/>
          <w:lang w:eastAsia="en-GB"/>
        </w:rPr>
        <w:t xml:space="preserve"> that does not offer goods or services on a market for </w:t>
      </w:r>
      <w:r w:rsidR="00236F50" w:rsidRPr="003B2367">
        <w:rPr>
          <w:rFonts w:ascii="Times New Roman" w:hAnsi="Times New Roman"/>
          <w:b/>
          <w:bCs/>
          <w:sz w:val="24"/>
          <w:lang w:eastAsia="en-GB"/>
        </w:rPr>
        <w:t>remuneration.</w:t>
      </w:r>
    </w:p>
    <w:p w14:paraId="1955C639" w14:textId="77777777" w:rsidR="005423E6" w:rsidRPr="003B2367" w:rsidRDefault="005423E6" w:rsidP="005423E6">
      <w:pPr>
        <w:spacing w:line="360" w:lineRule="auto"/>
        <w:jc w:val="both"/>
        <w:rPr>
          <w:rFonts w:ascii="Times New Roman" w:hAnsi="Times New Roman"/>
          <w:sz w:val="24"/>
          <w:lang w:eastAsia="en-GB"/>
        </w:rPr>
      </w:pPr>
    </w:p>
    <w:p w14:paraId="0AA229A4" w14:textId="77777777"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Applicants who have other funded projects with the Council and are in default, and/or have gone beyond the timelines of the project, are not eligible to participate.</w:t>
      </w:r>
    </w:p>
    <w:p w14:paraId="0A241D26" w14:textId="176D2DE1"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w:t>
      </w:r>
      <w:r w:rsidR="00AA0248">
        <w:rPr>
          <w:rFonts w:ascii="Times New Roman" w:hAnsi="Times New Roman"/>
          <w:sz w:val="24"/>
          <w:lang w:val="mt-MT" w:eastAsia="en-GB"/>
        </w:rPr>
        <w:t>d</w:t>
      </w:r>
      <w:r w:rsidRPr="003B2367">
        <w:rPr>
          <w:rFonts w:ascii="Times New Roman" w:hAnsi="Times New Roman"/>
          <w:sz w:val="24"/>
          <w:lang w:eastAsia="en-GB"/>
        </w:rPr>
        <w:t xml:space="preserve"> as non-compliant or defaulting on any other contract or agreement entered into with the Council, shall be automatically declared as inadmissible.</w:t>
      </w:r>
    </w:p>
    <w:p w14:paraId="6C77299F" w14:textId="1DC6E138" w:rsidR="005423E6" w:rsidRPr="003B2367" w:rsidRDefault="005423E6" w:rsidP="00A36B91">
      <w:pPr>
        <w:spacing w:after="200" w:line="360" w:lineRule="auto"/>
        <w:jc w:val="both"/>
        <w:rPr>
          <w:rFonts w:ascii="Times New Roman" w:hAnsi="Times New Roman"/>
          <w:sz w:val="24"/>
          <w:lang w:eastAsia="en-GB"/>
        </w:rPr>
      </w:pPr>
      <w:r w:rsidRPr="003B2367">
        <w:rPr>
          <w:rFonts w:ascii="Times New Roman" w:hAnsi="Times New Roman"/>
          <w:sz w:val="24"/>
          <w:lang w:eastAsia="en-GB"/>
        </w:rPr>
        <w:t xml:space="preserve">Funding under this </w:t>
      </w:r>
      <w:r w:rsidR="00950A82">
        <w:rPr>
          <w:rFonts w:ascii="Times New Roman" w:hAnsi="Times New Roman"/>
          <w:sz w:val="24"/>
          <w:lang w:eastAsia="en-GB"/>
        </w:rPr>
        <w:t>S</w:t>
      </w:r>
      <w:r w:rsidRPr="003B2367">
        <w:rPr>
          <w:rFonts w:ascii="Times New Roman" w:hAnsi="Times New Roman"/>
          <w:sz w:val="24"/>
          <w:lang w:eastAsia="en-GB"/>
        </w:rPr>
        <w:t>cheme is made available on the basis that the Applicant has not benefited and will not</w:t>
      </w:r>
      <w:r w:rsidR="001B613B" w:rsidRPr="003B2367">
        <w:rPr>
          <w:rFonts w:ascii="Times New Roman" w:hAnsi="Times New Roman"/>
          <w:sz w:val="24"/>
          <w:lang w:eastAsia="en-GB"/>
        </w:rPr>
        <w:t xml:space="preserve"> </w:t>
      </w:r>
      <w:r w:rsidRPr="003B2367">
        <w:rPr>
          <w:rFonts w:ascii="Times New Roman" w:hAnsi="Times New Roman"/>
          <w:sz w:val="24"/>
          <w:lang w:eastAsia="en-GB"/>
        </w:rPr>
        <w:t>benefit from any other grant or financial incentive of whatever nature, applied for and/or utilised for the</w:t>
      </w:r>
      <w:r w:rsidR="001B613B" w:rsidRPr="003B2367">
        <w:rPr>
          <w:rFonts w:ascii="Times New Roman" w:hAnsi="Times New Roman"/>
          <w:sz w:val="24"/>
          <w:lang w:eastAsia="en-GB"/>
        </w:rPr>
        <w:t xml:space="preserve"> </w:t>
      </w:r>
      <w:r w:rsidRPr="003B2367">
        <w:rPr>
          <w:rFonts w:ascii="Times New Roman" w:hAnsi="Times New Roman"/>
          <w:sz w:val="24"/>
          <w:lang w:eastAsia="en-GB"/>
        </w:rPr>
        <w:t xml:space="preserve">same scope as that subject of the funding requested under this </w:t>
      </w:r>
      <w:r w:rsidR="00950A82">
        <w:rPr>
          <w:rFonts w:ascii="Times New Roman" w:hAnsi="Times New Roman"/>
          <w:sz w:val="24"/>
          <w:lang w:eastAsia="en-GB"/>
        </w:rPr>
        <w:t>S</w:t>
      </w:r>
      <w:r w:rsidRPr="003B2367">
        <w:rPr>
          <w:rFonts w:ascii="Times New Roman" w:hAnsi="Times New Roman"/>
          <w:sz w:val="24"/>
          <w:lang w:eastAsia="en-GB"/>
        </w:rPr>
        <w:t>cheme.</w:t>
      </w:r>
    </w:p>
    <w:p w14:paraId="3AC07B10" w14:textId="77256C9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5A85D5A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r>
      <w:r w:rsidR="000B127A" w:rsidRPr="003B2367">
        <w:rPr>
          <w:rFonts w:ascii="Times New Roman" w:hAnsi="Times New Roman"/>
          <w:sz w:val="24"/>
          <w:lang w:eastAsia="en-GB"/>
        </w:rPr>
        <w:t xml:space="preserve">have a doctoral degree awarded </w:t>
      </w:r>
      <w:r w:rsidR="000B127A">
        <w:rPr>
          <w:rFonts w:ascii="Times New Roman" w:hAnsi="Times New Roman"/>
          <w:sz w:val="24"/>
          <w:lang w:eastAsia="en-GB"/>
        </w:rPr>
        <w:t>and meets the eligibility requirements for the selected ERC type of grant</w:t>
      </w:r>
      <w:r w:rsidR="000B127A" w:rsidRPr="003B2367">
        <w:rPr>
          <w:rFonts w:ascii="Times New Roman" w:hAnsi="Times New Roman"/>
          <w:sz w:val="24"/>
          <w:lang w:eastAsia="en-GB"/>
        </w:rPr>
        <w:t>;</w:t>
      </w:r>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5285CE1B"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AA02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ERC grantee;</w:t>
      </w:r>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68331047"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w:t>
      </w:r>
      <w:r w:rsidRPr="003B2367">
        <w:rPr>
          <w:rFonts w:ascii="Times New Roman" w:hAnsi="Times New Roman"/>
          <w:sz w:val="24"/>
          <w:lang w:eastAsia="en-GB"/>
        </w:rPr>
        <w:tab/>
        <w:t>submit, within 1</w:t>
      </w:r>
      <w:r w:rsidR="000B127A">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Proof of Concept (PoC) call is not eligible.</w:t>
      </w: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5"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6013F87" w14:textId="77777777" w:rsidR="00AF7A5C"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entity or is an employee of the same entity, or is otherwise related (by consanguinity or affinity) to the Candidate.</w:t>
      </w:r>
    </w:p>
    <w:p w14:paraId="77BC5923" w14:textId="37803B2A" w:rsidR="00AF7A5C" w:rsidRPr="00AF7A5C" w:rsidRDefault="00AF7A5C" w:rsidP="00AF7A5C">
      <w:pPr>
        <w:spacing w:after="200" w:line="360" w:lineRule="auto"/>
        <w:jc w:val="both"/>
        <w:rPr>
          <w:rFonts w:ascii="Times New Roman" w:hAnsi="Times New Roman"/>
          <w:sz w:val="24"/>
          <w:lang w:eastAsia="en-GB"/>
        </w:rPr>
      </w:pPr>
      <w:r w:rsidRPr="00AF7A5C">
        <w:t xml:space="preserve"> </w:t>
      </w:r>
      <w:r w:rsidRPr="00AF7A5C">
        <w:rPr>
          <w:rFonts w:ascii="Times New Roman" w:hAnsi="Times New Roman"/>
          <w:sz w:val="24"/>
          <w:lang w:eastAsia="en-GB"/>
        </w:rPr>
        <w:t xml:space="preserve">A conflict of interest (COI) exists for Option B if the </w:t>
      </w:r>
      <w:r>
        <w:rPr>
          <w:rFonts w:ascii="Times New Roman" w:hAnsi="Times New Roman"/>
          <w:sz w:val="24"/>
          <w:lang w:eastAsia="en-GB"/>
        </w:rPr>
        <w:t>trainer</w:t>
      </w:r>
      <w:r w:rsidRPr="00AF7A5C">
        <w:rPr>
          <w:rFonts w:ascii="Times New Roman" w:hAnsi="Times New Roman"/>
          <w:sz w:val="24"/>
          <w:lang w:eastAsia="en-GB"/>
        </w:rPr>
        <w:t xml:space="preserve">; </w:t>
      </w:r>
    </w:p>
    <w:p w14:paraId="0FB4890E" w14:textId="69673B2A"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involved in the preparation of the </w:t>
      </w:r>
      <w:r w:rsidR="00F11768">
        <w:rPr>
          <w:rFonts w:ascii="Times New Roman" w:hAnsi="Times New Roman"/>
          <w:sz w:val="24"/>
          <w:lang w:eastAsia="en-GB"/>
        </w:rPr>
        <w:t>ERC proposal;</w:t>
      </w:r>
    </w:p>
    <w:p w14:paraId="1BFAA2F3" w14:textId="1C724630"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w:t>
      </w:r>
      <w:r w:rsidR="00F11768">
        <w:rPr>
          <w:rFonts w:ascii="Times New Roman" w:hAnsi="Times New Roman"/>
          <w:sz w:val="24"/>
          <w:lang w:eastAsia="en-GB"/>
        </w:rPr>
        <w:t>the Host Entity</w:t>
      </w:r>
      <w:r w:rsidRPr="00AF7A5C">
        <w:rPr>
          <w:rFonts w:ascii="Times New Roman" w:hAnsi="Times New Roman"/>
          <w:sz w:val="24"/>
          <w:lang w:eastAsia="en-GB"/>
        </w:rPr>
        <w:t xml:space="preserve"> in the </w:t>
      </w:r>
      <w:r w:rsidR="00F11768">
        <w:rPr>
          <w:rFonts w:ascii="Times New Roman" w:hAnsi="Times New Roman"/>
          <w:sz w:val="24"/>
          <w:lang w:eastAsia="en-GB"/>
        </w:rPr>
        <w:t>ERC</w:t>
      </w:r>
      <w:r w:rsidRPr="00AF7A5C">
        <w:rPr>
          <w:rFonts w:ascii="Times New Roman" w:hAnsi="Times New Roman"/>
          <w:sz w:val="24"/>
          <w:lang w:eastAsia="en-GB"/>
        </w:rPr>
        <w:t xml:space="preserve"> proposal to be submitted to the European Commission.</w:t>
      </w:r>
    </w:p>
    <w:p w14:paraId="7949F4FA"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stands to benefit directly if the proposal is positively evaluated. Providing market research information to the applicant will not be considered a COI. </w:t>
      </w:r>
    </w:p>
    <w:p w14:paraId="25481D92"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has a family / personal relationship with any person representing an applicant</w:t>
      </w:r>
    </w:p>
    <w:p w14:paraId="5AA34287"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a director / trustee / partner of the applicant or involved in the management of the applicant’s entity or is an employee of the same entity. </w:t>
      </w:r>
    </w:p>
    <w:p w14:paraId="6FD5C92B" w14:textId="04E0B48C" w:rsidR="00301AC0" w:rsidRPr="008177B4" w:rsidRDefault="00AF7A5C" w:rsidP="00F01B62">
      <w:pPr>
        <w:spacing w:after="200" w:line="360" w:lineRule="auto"/>
        <w:jc w:val="both"/>
        <w:rPr>
          <w:rFonts w:ascii="Times New Roman" w:hAnsi="Times New Roman"/>
          <w:sz w:val="24"/>
          <w:lang w:eastAsia="en-GB"/>
        </w:rPr>
      </w:pPr>
      <w:r w:rsidRPr="00AF7A5C">
        <w:rPr>
          <w:rFonts w:ascii="Times New Roman" w:hAnsi="Times New Roman"/>
          <w:sz w:val="24"/>
          <w:lang w:eastAsia="en-GB"/>
        </w:rPr>
        <w:t xml:space="preserve">If </w:t>
      </w:r>
      <w:r w:rsidR="000B45FB">
        <w:rPr>
          <w:rFonts w:ascii="Times New Roman" w:hAnsi="Times New Roman"/>
          <w:sz w:val="24"/>
          <w:lang w:eastAsia="en-GB"/>
        </w:rPr>
        <w:t xml:space="preserve">it </w:t>
      </w:r>
      <w:r w:rsidRPr="00AF7A5C">
        <w:rPr>
          <w:rFonts w:ascii="Times New Roman" w:hAnsi="Times New Roman"/>
          <w:sz w:val="24"/>
          <w:lang w:eastAsia="en-GB"/>
        </w:rPr>
        <w:t xml:space="preserve">emerges that the chosen </w:t>
      </w:r>
      <w:r w:rsidR="00F11768">
        <w:rPr>
          <w:rFonts w:ascii="Times New Roman" w:hAnsi="Times New Roman"/>
          <w:sz w:val="24"/>
          <w:lang w:eastAsia="en-GB"/>
        </w:rPr>
        <w:t>training</w:t>
      </w:r>
      <w:r w:rsidRPr="00AF7A5C">
        <w:rPr>
          <w:rFonts w:ascii="Times New Roman" w:hAnsi="Times New Roman"/>
          <w:sz w:val="24"/>
          <w:lang w:eastAsia="en-GB"/>
        </w:rPr>
        <w:t xml:space="preserve"> service has a conflict of interest as explained in the previous clause, the beneficiary cannot use their services and must choose a different consultant.</w:t>
      </w: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77777777"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‘ERC Support Scheme 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7240B294"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lastRenderedPageBreak/>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AA0248">
        <w:rPr>
          <w:rFonts w:ascii="Times New Roman" w:hAnsi="Times New Roman"/>
          <w:sz w:val="24"/>
          <w:lang w:val="mt-MT"/>
        </w:rPr>
        <w:t>A m</w:t>
      </w:r>
      <w:r w:rsidR="00AA0248" w:rsidRPr="003B2367">
        <w:rPr>
          <w:rFonts w:ascii="Times New Roman" w:hAnsi="Times New Roman"/>
          <w:sz w:val="24"/>
        </w:rPr>
        <w:t xml:space="preserve">aximum </w:t>
      </w:r>
      <w:r w:rsidRPr="003B2367">
        <w:rPr>
          <w:rFonts w:ascii="Times New Roman" w:hAnsi="Times New Roman"/>
          <w:sz w:val="24"/>
        </w:rPr>
        <w:t>€</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40% pre-financing, following the Grant Agreement signature;</w:t>
      </w:r>
    </w:p>
    <w:p w14:paraId="4E48D019"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40% to be disbursed following submission of final report, including invoices and receipts;</w:t>
      </w:r>
      <w:r>
        <w:rPr>
          <w:rFonts w:ascii="Times New Roman" w:hAnsi="Times New Roman"/>
          <w:sz w:val="24"/>
        </w:rPr>
        <w:t xml:space="preserve"> and</w:t>
      </w:r>
    </w:p>
    <w:p w14:paraId="5A6438E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20% to be disbursed following successful submission of an ERC proposal.</w:t>
      </w:r>
    </w:p>
    <w:p w14:paraId="3F5801F9" w14:textId="2B62D2DB" w:rsidR="006B0304" w:rsidRP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6BA228F5" w14:textId="09539492" w:rsidR="006B0304" w:rsidRPr="003B2367"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Failure to submit an ERC proposal within 1</w:t>
      </w:r>
      <w:r w:rsidR="00452CFE">
        <w:rPr>
          <w:rFonts w:ascii="Times New Roman" w:hAnsi="Times New Roman"/>
          <w:bCs/>
          <w:sz w:val="24"/>
          <w:lang w:eastAsia="en-GB"/>
        </w:rPr>
        <w:t>2</w:t>
      </w:r>
      <w:r w:rsidRPr="006B0304">
        <w:rPr>
          <w:rFonts w:ascii="Times New Roman" w:hAnsi="Times New Roman"/>
          <w:bCs/>
          <w:sz w:val="24"/>
          <w:lang w:eastAsia="en-GB"/>
        </w:rPr>
        <w:t xml:space="preserve"> months from the date of the completion of the activity will result in a requirement to return 50% of the funds awarded to the research Host Institution in pursuant to the Call, unless MCST agrees otherwise.</w:t>
      </w:r>
    </w:p>
    <w:p w14:paraId="07C53684" w14:textId="77777777" w:rsidR="00C80BF3" w:rsidRPr="003B2367" w:rsidRDefault="00F01B62" w:rsidP="00F01B62">
      <w:pPr>
        <w:spacing w:line="360" w:lineRule="auto"/>
        <w:jc w:val="both"/>
        <w:rPr>
          <w:rFonts w:ascii="Times New Roman" w:hAnsi="Times New Roman"/>
          <w:b/>
          <w:bCs/>
          <w:sz w:val="24"/>
        </w:rPr>
      </w:pPr>
      <w:r w:rsidRPr="003B2367">
        <w:rPr>
          <w:rFonts w:ascii="Times New Roman" w:hAnsi="Times New Roman"/>
          <w:b/>
          <w:bCs/>
          <w:sz w:val="24"/>
        </w:rPr>
        <w:t>Eligible costs:</w:t>
      </w:r>
    </w:p>
    <w:p w14:paraId="33C91229" w14:textId="77777777" w:rsidR="00C80BF3" w:rsidRPr="003B2367" w:rsidRDefault="00C80BF3" w:rsidP="00F01B62">
      <w:pPr>
        <w:spacing w:line="360" w:lineRule="auto"/>
        <w:jc w:val="both"/>
        <w:rPr>
          <w:rFonts w:ascii="Times New Roman" w:hAnsi="Times New Roman"/>
          <w:sz w:val="24"/>
        </w:rPr>
      </w:pP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77399A37" w14:textId="77777777" w:rsidR="00EC6045" w:rsidRDefault="00EC6045" w:rsidP="00EC6045">
      <w:pPr>
        <w:pBdr>
          <w:top w:val="nil"/>
          <w:left w:val="nil"/>
          <w:bottom w:val="nil"/>
          <w:right w:val="nil"/>
          <w:between w:val="nil"/>
        </w:pBdr>
        <w:spacing w:line="360" w:lineRule="auto"/>
        <w:ind w:left="851"/>
        <w:jc w:val="both"/>
        <w:rPr>
          <w:rFonts w:ascii="Times New Roman" w:hAnsi="Times New Roman"/>
          <w:color w:val="000000"/>
          <w:sz w:val="24"/>
        </w:rPr>
      </w:pPr>
    </w:p>
    <w:p w14:paraId="2224CA3D" w14:textId="67966EF7" w:rsidR="00EC6045" w:rsidRDefault="00EC6045"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77DE31AE"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 xml:space="preserve">economy class ticket); </w:t>
      </w:r>
    </w:p>
    <w:p w14:paraId="39991369" w14:textId="47AA94F5" w:rsidR="00580A6F" w:rsidRPr="00EC6045" w:rsidRDefault="00F01B62" w:rsidP="00EC6045">
      <w:pPr>
        <w:numPr>
          <w:ilvl w:val="0"/>
          <w:numId w:val="26"/>
        </w:numPr>
        <w:pBdr>
          <w:top w:val="nil"/>
          <w:left w:val="nil"/>
          <w:bottom w:val="nil"/>
          <w:right w:val="nil"/>
          <w:between w:val="nil"/>
        </w:pBdr>
        <w:spacing w:line="360" w:lineRule="auto"/>
        <w:ind w:left="851" w:hanging="425"/>
        <w:jc w:val="both"/>
        <w:rPr>
          <w:rFonts w:ascii="Times New Roman" w:hAnsi="Times New Roman"/>
          <w:sz w:val="24"/>
        </w:rPr>
      </w:pPr>
      <w:r w:rsidRPr="003B2367">
        <w:rPr>
          <w:rFonts w:ascii="Times New Roman" w:hAnsi="Times New Roman"/>
          <w:color w:val="000000"/>
          <w:sz w:val="24"/>
        </w:rPr>
        <w:t xml:space="preserve">travel insurance; </w:t>
      </w:r>
      <w:r w:rsidR="00EC6045">
        <w:rPr>
          <w:rFonts w:ascii="Times New Roman" w:hAnsi="Times New Roman"/>
          <w:color w:val="000000"/>
          <w:sz w:val="24"/>
        </w:rPr>
        <w:t>a</w:t>
      </w:r>
      <w:r w:rsidR="00580A6F" w:rsidRPr="00EC6045">
        <w:rPr>
          <w:rFonts w:ascii="Times New Roman" w:hAnsi="Times New Roman"/>
          <w:color w:val="000000"/>
          <w:sz w:val="24"/>
        </w:rPr>
        <w:t>irport transfers;</w:t>
      </w:r>
      <w:r w:rsidR="00EC6045" w:rsidRPr="00EC6045">
        <w:rPr>
          <w:rFonts w:ascii="Times New Roman" w:hAnsi="Times New Roman"/>
          <w:color w:val="000000"/>
          <w:sz w:val="24"/>
        </w:rPr>
        <w:t xml:space="preserve"> </w:t>
      </w:r>
      <w:r w:rsidR="00EC6045" w:rsidRPr="000C32E8">
        <w:rPr>
          <w:rFonts w:ascii="Times New Roman" w:hAnsi="Times New Roman"/>
          <w:color w:val="000000"/>
          <w:sz w:val="24"/>
        </w:rPr>
        <w:t>subsistence allowance (</w:t>
      </w:r>
      <w:r w:rsidR="00EC6045" w:rsidRPr="000C32E8">
        <w:rPr>
          <w:rFonts w:ascii="Times New Roman" w:hAnsi="Times New Roman"/>
          <w:sz w:val="24"/>
        </w:rPr>
        <w:t>inclusive of</w:t>
      </w:r>
      <w:r w:rsidR="00EC6045" w:rsidRPr="000C32E8">
        <w:rPr>
          <w:rFonts w:ascii="Times New Roman" w:hAnsi="Times New Roman"/>
          <w:color w:val="000000"/>
          <w:sz w:val="24"/>
        </w:rPr>
        <w:t xml:space="preserve"> accommodation)</w:t>
      </w:r>
      <w:r w:rsidR="00EC6045" w:rsidRPr="000C32E8">
        <w:rPr>
          <w:rFonts w:ascii="Times New Roman" w:hAnsi="Times New Roman"/>
          <w:sz w:val="24"/>
        </w:rPr>
        <w:t xml:space="preserve"> </w:t>
      </w:r>
    </w:p>
    <w:p w14:paraId="4CF38902" w14:textId="740ADE7D" w:rsidR="00027646" w:rsidRPr="00580A6F" w:rsidRDefault="00027646" w:rsidP="00EC6045">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fees</w:t>
      </w:r>
      <w:r w:rsidRPr="003B2367">
        <w:rPr>
          <w:rFonts w:ascii="Times New Roman" w:hAnsi="Times New Roman"/>
          <w:sz w:val="24"/>
        </w:rPr>
        <w:t>;</w:t>
      </w:r>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0BCB9BDD"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lastRenderedPageBreak/>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w:t>
      </w:r>
      <w:r w:rsidR="009E4022">
        <w:rPr>
          <w:rFonts w:ascii="Times New Roman" w:hAnsi="Times New Roman"/>
          <w:sz w:val="24"/>
          <w:lang w:val="mt-MT"/>
        </w:rPr>
        <w:t>t</w:t>
      </w:r>
      <w:r w:rsidRPr="003B2367">
        <w:rPr>
          <w:rFonts w:ascii="Times New Roman" w:hAnsi="Times New Roman"/>
          <w:sz w:val="24"/>
        </w:rPr>
        <w:t xml:space="preserve"> more than €500 for EU countries and €1000 for non-EU countries and should be an economy class ticket); </w:t>
      </w:r>
    </w:p>
    <w:p w14:paraId="2639EF69" w14:textId="5B7907BE" w:rsidR="00252F74" w:rsidRPr="00274328" w:rsidRDefault="00252F74" w:rsidP="00274328">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travel insurance; </w:t>
      </w:r>
      <w:r w:rsidR="00580A6F" w:rsidRPr="00274328">
        <w:rPr>
          <w:rFonts w:ascii="Times New Roman" w:hAnsi="Times New Roman"/>
          <w:sz w:val="24"/>
        </w:rPr>
        <w:t>airport transfers; and</w:t>
      </w:r>
      <w:r w:rsidR="00274328">
        <w:rPr>
          <w:rFonts w:ascii="Times New Roman" w:hAnsi="Times New Roman"/>
          <w:sz w:val="24"/>
        </w:rPr>
        <w:t xml:space="preserve"> </w:t>
      </w:r>
      <w:r w:rsidRPr="00274328">
        <w:rPr>
          <w:rFonts w:ascii="Times New Roman" w:hAnsi="Times New Roman"/>
          <w:sz w:val="24"/>
        </w:rPr>
        <w:t>subsistence allowance (inclusive of accommodation) - when subsistence costs are calculated the local entity’s pre-approved subsistence allowances should be used;</w:t>
      </w:r>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1046A30E"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procurement regulations and the Council can request evidence that the services were good value for money. eg.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448FFF9D" w14:textId="0021D1FE" w:rsidR="00301AC0" w:rsidRDefault="00301AC0" w:rsidP="00CD63C8">
      <w:pPr>
        <w:spacing w:line="360" w:lineRule="auto"/>
        <w:jc w:val="both"/>
        <w:rPr>
          <w:rFonts w:ascii="Times New Roman" w:hAnsi="Times New Roman"/>
          <w:sz w:val="24"/>
        </w:rPr>
      </w:pPr>
      <w:r>
        <w:rPr>
          <w:rFonts w:ascii="Times New Roman" w:hAnsi="Times New Roman"/>
          <w:sz w:val="24"/>
        </w:rPr>
        <w:t xml:space="preserve">The </w:t>
      </w:r>
      <w:r w:rsidR="00DC0288">
        <w:rPr>
          <w:rFonts w:ascii="Times New Roman" w:hAnsi="Times New Roman"/>
          <w:sz w:val="24"/>
        </w:rPr>
        <w:t>S</w:t>
      </w:r>
      <w:r>
        <w:rPr>
          <w:rFonts w:ascii="Times New Roman" w:hAnsi="Times New Roman"/>
          <w:sz w:val="24"/>
        </w:rPr>
        <w:t xml:space="preserve">cheme will open twice </w:t>
      </w:r>
      <w:r w:rsidR="00545755">
        <w:rPr>
          <w:rFonts w:ascii="Times New Roman" w:hAnsi="Times New Roman"/>
          <w:sz w:val="24"/>
        </w:rPr>
        <w:t xml:space="preserve">in 2021 - </w:t>
      </w:r>
      <w:r>
        <w:rPr>
          <w:rFonts w:ascii="Times New Roman" w:hAnsi="Times New Roman"/>
          <w:sz w:val="24"/>
        </w:rPr>
        <w:t xml:space="preserve">in </w:t>
      </w:r>
      <w:r w:rsidR="000875C1">
        <w:rPr>
          <w:rFonts w:ascii="Times New Roman" w:hAnsi="Times New Roman"/>
          <w:sz w:val="24"/>
        </w:rPr>
        <w:t>June</w:t>
      </w:r>
      <w:r>
        <w:rPr>
          <w:rFonts w:ascii="Times New Roman" w:hAnsi="Times New Roman"/>
          <w:sz w:val="24"/>
        </w:rPr>
        <w:t xml:space="preserve"> and </w:t>
      </w:r>
      <w:r w:rsidR="000875C1">
        <w:rPr>
          <w:rFonts w:ascii="Times New Roman" w:hAnsi="Times New Roman"/>
          <w:sz w:val="24"/>
        </w:rPr>
        <w:t>October</w:t>
      </w:r>
      <w:r w:rsidR="00CE3ED2">
        <w:rPr>
          <w:rFonts w:ascii="Times New Roman" w:hAnsi="Times New Roman"/>
          <w:sz w:val="24"/>
        </w:rPr>
        <w:t>/November</w:t>
      </w:r>
      <w:r>
        <w:rPr>
          <w:rFonts w:ascii="Times New Roman" w:hAnsi="Times New Roman"/>
          <w:sz w:val="24"/>
        </w:rPr>
        <w:t xml:space="preserve"> 2021.</w:t>
      </w:r>
    </w:p>
    <w:p w14:paraId="6C791B3C" w14:textId="77777777" w:rsidR="00DC0288" w:rsidRDefault="00DC0288" w:rsidP="00CD63C8">
      <w:pPr>
        <w:spacing w:line="360" w:lineRule="auto"/>
        <w:jc w:val="both"/>
        <w:rPr>
          <w:rFonts w:ascii="Times New Roman" w:hAnsi="Times New Roman"/>
          <w:sz w:val="24"/>
        </w:rPr>
      </w:pPr>
    </w:p>
    <w:p w14:paraId="4B1E73CF" w14:textId="76D2B42D" w:rsidR="00CD63C8" w:rsidRPr="00533345" w:rsidRDefault="00F01B62" w:rsidP="00CD63C8">
      <w:pPr>
        <w:spacing w:line="360" w:lineRule="auto"/>
        <w:jc w:val="both"/>
        <w:rPr>
          <w:rFonts w:ascii="Times New Roman" w:hAnsi="Times New Roman"/>
          <w:b/>
          <w:bCs/>
          <w:sz w:val="24"/>
        </w:rPr>
      </w:pPr>
      <w:r w:rsidRPr="003B2367">
        <w:rPr>
          <w:rFonts w:ascii="Times New Roman" w:hAnsi="Times New Roman"/>
          <w:sz w:val="24"/>
        </w:rPr>
        <w:t xml:space="preserve">Interested </w:t>
      </w:r>
      <w:r w:rsidR="00DC0288">
        <w:rPr>
          <w:rFonts w:ascii="Times New Roman" w:hAnsi="Times New Roman"/>
          <w:sz w:val="24"/>
        </w:rPr>
        <w:t>A</w:t>
      </w:r>
      <w:r w:rsidRPr="003B2367">
        <w:rPr>
          <w:rFonts w:ascii="Times New Roman" w:hAnsi="Times New Roman"/>
          <w:sz w:val="24"/>
        </w:rPr>
        <w:t xml:space="preserve">pplicants are to submit their application form electronically </w:t>
      </w:r>
      <w:r w:rsidR="0076048D">
        <w:rPr>
          <w:rFonts w:ascii="Times New Roman" w:hAnsi="Times New Roman"/>
          <w:sz w:val="24"/>
        </w:rPr>
        <w:t xml:space="preserve">to </w:t>
      </w:r>
      <w:hyperlink r:id="rId16" w:history="1">
        <w:r w:rsidR="0076048D" w:rsidRPr="004948FB">
          <w:rPr>
            <w:rStyle w:val="Hyperlink"/>
            <w:lang w:val="en-US"/>
          </w:rPr>
          <w:t>horizon.malta@gov.mt</w:t>
        </w:r>
      </w:hyperlink>
      <w:r w:rsidR="0076048D">
        <w:rPr>
          <w:lang w:val="en-US"/>
        </w:rPr>
        <w:t xml:space="preserve"> </w:t>
      </w:r>
      <w:r w:rsidRPr="003B2367">
        <w:rPr>
          <w:rFonts w:ascii="Times New Roman" w:hAnsi="Times New Roman"/>
          <w:sz w:val="24"/>
        </w:rPr>
        <w:t>with “</w:t>
      </w:r>
      <w:r w:rsidR="00CA14DC" w:rsidRPr="003B2367">
        <w:rPr>
          <w:rFonts w:ascii="Times New Roman" w:hAnsi="Times New Roman"/>
          <w:sz w:val="24"/>
        </w:rPr>
        <w:t>ERC Support Scheme</w:t>
      </w:r>
      <w:r w:rsidRPr="003B2367">
        <w:rPr>
          <w:rFonts w:ascii="Times New Roman" w:hAnsi="Times New Roman"/>
          <w:sz w:val="24"/>
        </w:rPr>
        <w:t xml:space="preserve"> - Application 20</w:t>
      </w:r>
      <w:r w:rsidR="00A107AC" w:rsidRPr="003B2367">
        <w:rPr>
          <w:rFonts w:ascii="Times New Roman" w:hAnsi="Times New Roman"/>
          <w:sz w:val="24"/>
        </w:rPr>
        <w:t>2</w:t>
      </w:r>
      <w:r w:rsidR="00CA14DC" w:rsidRPr="003B2367">
        <w:rPr>
          <w:rFonts w:ascii="Times New Roman" w:hAnsi="Times New Roman"/>
          <w:sz w:val="24"/>
        </w:rPr>
        <w:t>1</w:t>
      </w:r>
      <w:r w:rsidRPr="003B2367">
        <w:rPr>
          <w:rFonts w:ascii="Times New Roman" w:hAnsi="Times New Roman"/>
          <w:sz w:val="24"/>
        </w:rPr>
        <w:t xml:space="preserve">” as a subject heading by not later than </w:t>
      </w:r>
      <w:r w:rsidR="00274328" w:rsidRPr="00533345">
        <w:rPr>
          <w:rFonts w:ascii="Times New Roman" w:hAnsi="Times New Roman"/>
          <w:b/>
          <w:bCs/>
          <w:sz w:val="24"/>
        </w:rPr>
        <w:t xml:space="preserve">noon (CET) of </w:t>
      </w:r>
      <w:r w:rsidR="00533345" w:rsidRPr="00533345">
        <w:rPr>
          <w:rFonts w:ascii="Times New Roman" w:hAnsi="Times New Roman"/>
          <w:b/>
          <w:bCs/>
          <w:sz w:val="24"/>
        </w:rPr>
        <w:t>18</w:t>
      </w:r>
      <w:r w:rsidR="00533345" w:rsidRPr="00533345">
        <w:rPr>
          <w:rFonts w:ascii="Times New Roman" w:hAnsi="Times New Roman"/>
          <w:b/>
          <w:bCs/>
          <w:sz w:val="24"/>
          <w:vertAlign w:val="superscript"/>
        </w:rPr>
        <w:t>th</w:t>
      </w:r>
      <w:r w:rsidR="00533345" w:rsidRPr="00533345">
        <w:rPr>
          <w:rFonts w:ascii="Times New Roman" w:hAnsi="Times New Roman"/>
          <w:b/>
          <w:bCs/>
          <w:sz w:val="24"/>
        </w:rPr>
        <w:t xml:space="preserve"> November</w:t>
      </w:r>
      <w:r w:rsidR="00274328" w:rsidRPr="00533345">
        <w:rPr>
          <w:rFonts w:ascii="Times New Roman" w:hAnsi="Times New Roman"/>
          <w:b/>
          <w:bCs/>
          <w:sz w:val="24"/>
        </w:rPr>
        <w:t xml:space="preserve"> 2021</w:t>
      </w:r>
      <w:r w:rsidR="00CA14DC" w:rsidRPr="00533345">
        <w:rPr>
          <w:rFonts w:ascii="Times New Roman" w:hAnsi="Times New Roman"/>
          <w:b/>
          <w:bCs/>
          <w:sz w:val="24"/>
        </w:rPr>
        <w:t>.</w:t>
      </w:r>
    </w:p>
    <w:p w14:paraId="0F98A0F5" w14:textId="4E08ECFD" w:rsidR="00A107AC" w:rsidRPr="003B2367" w:rsidRDefault="00A107AC" w:rsidP="00F01B62">
      <w:pPr>
        <w:spacing w:line="360" w:lineRule="auto"/>
        <w:jc w:val="both"/>
        <w:rPr>
          <w:rFonts w:ascii="Times New Roman" w:hAnsi="Times New Roman"/>
          <w:sz w:val="24"/>
        </w:rPr>
      </w:pPr>
    </w:p>
    <w:p w14:paraId="6D638E60" w14:textId="68C42361" w:rsidR="00F01B62" w:rsidRPr="003B2367" w:rsidRDefault="00383CCE" w:rsidP="00F01B62">
      <w:pPr>
        <w:spacing w:line="360" w:lineRule="auto"/>
        <w:jc w:val="both"/>
        <w:rPr>
          <w:rFonts w:ascii="Times New Roman" w:hAnsi="Times New Roman"/>
          <w:sz w:val="24"/>
        </w:rPr>
      </w:pPr>
      <w:r w:rsidRPr="003B2367">
        <w:rPr>
          <w:rFonts w:ascii="Times New Roman" w:hAnsi="Times New Roman"/>
          <w:sz w:val="24"/>
        </w:rPr>
        <w:t xml:space="preserve">The application </w:t>
      </w:r>
      <w:r w:rsidR="00F01B62" w:rsidRPr="003B2367">
        <w:rPr>
          <w:rFonts w:ascii="Times New Roman" w:hAnsi="Times New Roman"/>
          <w:sz w:val="24"/>
        </w:rPr>
        <w:t xml:space="preserve">must be </w:t>
      </w:r>
      <w:r w:rsidRPr="003B2367">
        <w:rPr>
          <w:rFonts w:ascii="Times New Roman" w:hAnsi="Times New Roman"/>
          <w:sz w:val="24"/>
        </w:rPr>
        <w:t>dated and signed by the</w:t>
      </w:r>
      <w:r w:rsidR="00E203CD" w:rsidRPr="003B2367">
        <w:rPr>
          <w:rFonts w:ascii="Times New Roman" w:hAnsi="Times New Roman"/>
          <w:sz w:val="24"/>
        </w:rPr>
        <w:t xml:space="preserve"> </w:t>
      </w:r>
      <w:r w:rsidR="00DC0288">
        <w:rPr>
          <w:rFonts w:ascii="Times New Roman" w:hAnsi="Times New Roman"/>
          <w:sz w:val="24"/>
        </w:rPr>
        <w:t>C</w:t>
      </w:r>
      <w:r w:rsidR="00CA14DC" w:rsidRPr="003B2367">
        <w:rPr>
          <w:rFonts w:ascii="Times New Roman" w:hAnsi="Times New Roman"/>
          <w:sz w:val="24"/>
        </w:rPr>
        <w:t>andidate</w:t>
      </w:r>
      <w:r w:rsidR="00E203CD" w:rsidRPr="003B2367">
        <w:rPr>
          <w:rFonts w:ascii="Times New Roman" w:hAnsi="Times New Roman"/>
          <w:sz w:val="24"/>
        </w:rPr>
        <w:t xml:space="preserve"> and the</w:t>
      </w:r>
      <w:r w:rsidRPr="003B2367">
        <w:rPr>
          <w:rFonts w:ascii="Times New Roman" w:hAnsi="Times New Roman"/>
          <w:sz w:val="24"/>
        </w:rPr>
        <w:t xml:space="preserve"> legal representative</w:t>
      </w:r>
      <w:r w:rsidR="00CA14DC" w:rsidRPr="003B2367">
        <w:rPr>
          <w:rFonts w:ascii="Times New Roman" w:hAnsi="Times New Roman"/>
          <w:sz w:val="24"/>
        </w:rPr>
        <w:t xml:space="preserve"> of the Applicant</w:t>
      </w:r>
      <w:r w:rsidR="00F01B62" w:rsidRPr="003B2367">
        <w:rPr>
          <w:rFonts w:ascii="Times New Roman" w:hAnsi="Times New Roman"/>
          <w:sz w:val="24"/>
        </w:rPr>
        <w:t xml:space="preserve">.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lastRenderedPageBreak/>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r w:rsidR="00D57D7E">
        <w:rPr>
          <w:rFonts w:ascii="Times New Roman" w:hAnsi="Times New Roman"/>
          <w:sz w:val="24"/>
        </w:rPr>
        <w:t>C</w:t>
      </w:r>
      <w:r w:rsidRPr="003B2367">
        <w:rPr>
          <w:rFonts w:ascii="Times New Roman" w:hAnsi="Times New Roman"/>
          <w:sz w:val="24"/>
        </w:rPr>
        <w:t>andidate;</w:t>
      </w:r>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6342DC6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43008D">
        <w:rPr>
          <w:rFonts w:ascii="Times New Roman" w:hAnsi="Times New Roman"/>
          <w:sz w:val="24"/>
        </w:rPr>
        <w:t>:</w:t>
      </w:r>
      <w:r w:rsidR="0076048D">
        <w:rPr>
          <w:rFonts w:ascii="Times New Roman" w:hAnsi="Times New Roman"/>
          <w:sz w:val="24"/>
        </w:rPr>
        <w:t xml:space="preserve"> </w:t>
      </w:r>
      <w:r w:rsidR="0043008D">
        <w:rPr>
          <w:rFonts w:ascii="Times New Roman" w:hAnsi="Times New Roman"/>
          <w:sz w:val="24"/>
        </w:rPr>
        <w:t>r</w:t>
      </w:r>
      <w:r w:rsidR="00C942D0">
        <w:rPr>
          <w:rFonts w:ascii="Times New Roman" w:hAnsi="Times New Roman"/>
          <w:sz w:val="24"/>
        </w:rPr>
        <w:t>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370FD0A0"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lastRenderedPageBreak/>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0A36032F"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7"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effected.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35D370B3" w14:textId="77777777" w:rsidR="00CD63C8" w:rsidRPr="003B2367" w:rsidRDefault="00CD63C8" w:rsidP="00F01B62">
      <w:pPr>
        <w:spacing w:line="360" w:lineRule="auto"/>
        <w:jc w:val="both"/>
        <w:rPr>
          <w:rFonts w:ascii="Times New Roman" w:hAnsi="Times New Roman"/>
          <w:b/>
          <w:sz w:val="24"/>
          <w:u w:val="single"/>
        </w:rPr>
      </w:pPr>
    </w:p>
    <w:p w14:paraId="15655BA7" w14:textId="306C6A08" w:rsidR="00E32798" w:rsidRDefault="00BE3120" w:rsidP="00F01B62">
      <w:pPr>
        <w:spacing w:line="360" w:lineRule="auto"/>
        <w:jc w:val="both"/>
        <w:rPr>
          <w:rFonts w:ascii="Times New Roman" w:hAnsi="Times New Roman"/>
          <w:b/>
          <w:sz w:val="24"/>
          <w:u w:val="single"/>
        </w:rPr>
      </w:pPr>
      <w:r>
        <w:rPr>
          <w:rFonts w:ascii="Times New Roman" w:hAnsi="Times New Roman"/>
          <w:b/>
          <w:sz w:val="24"/>
          <w:u w:val="single"/>
        </w:rPr>
        <w:t>9</w:t>
      </w:r>
      <w:r w:rsidR="00F01B62" w:rsidRPr="003B2367">
        <w:rPr>
          <w:rFonts w:ascii="Times New Roman" w:hAnsi="Times New Roman"/>
          <w:b/>
          <w:sz w:val="24"/>
          <w:u w:val="single"/>
        </w:rPr>
        <w:t>.0 Correspondence</w:t>
      </w:r>
    </w:p>
    <w:p w14:paraId="4A2C76C5" w14:textId="77777777" w:rsidR="00B02384" w:rsidRPr="003B2367" w:rsidRDefault="00B02384" w:rsidP="00F01B62">
      <w:pPr>
        <w:spacing w:line="360" w:lineRule="auto"/>
        <w:jc w:val="both"/>
        <w:rPr>
          <w:rFonts w:ascii="Times New Roman" w:hAnsi="Times New Roman"/>
          <w:b/>
          <w:sz w:val="24"/>
          <w:u w:val="single"/>
        </w:rPr>
      </w:pPr>
    </w:p>
    <w:p w14:paraId="18B579AA"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18"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Kankaya at </w:t>
      </w:r>
      <w:hyperlink r:id="rId19"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05092D54" w14:textId="77777777" w:rsidR="004301C3" w:rsidRPr="003B2367" w:rsidRDefault="004301C3" w:rsidP="004301C3">
      <w:pPr>
        <w:spacing w:line="360" w:lineRule="auto"/>
        <w:jc w:val="both"/>
        <w:rPr>
          <w:rFonts w:ascii="Times New Roman" w:hAnsi="Times New Roman"/>
          <w:sz w:val="24"/>
        </w:rPr>
      </w:pP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cheme. For those activities extending for the full duration of this Scheme (i.e. one year from the starting date on the grant agreement), final reports should be submitted to MCST by no later than 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17DB64B6" w14:textId="31C5EBF9" w:rsidR="004301C3" w:rsidRPr="003B2367" w:rsidRDefault="004301C3" w:rsidP="004301C3">
      <w:pPr>
        <w:spacing w:line="360" w:lineRule="auto"/>
        <w:jc w:val="both"/>
        <w:rPr>
          <w:rFonts w:ascii="Times New Roman" w:hAnsi="Times New Roman"/>
          <w:bCs/>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1A6C96C" w14:textId="70F7C300" w:rsidR="00B02384" w:rsidRDefault="00B02384" w:rsidP="00B02384">
      <w:pPr>
        <w:spacing w:line="360" w:lineRule="auto"/>
        <w:jc w:val="both"/>
        <w:rPr>
          <w:rFonts w:ascii="Times New Roman" w:hAnsi="Times New Roman"/>
          <w:b/>
          <w:sz w:val="24"/>
          <w:u w:val="single"/>
        </w:rPr>
      </w:pPr>
      <w:r>
        <w:rPr>
          <w:rFonts w:ascii="Times New Roman" w:hAnsi="Times New Roman"/>
          <w:b/>
          <w:sz w:val="24"/>
          <w:u w:val="single"/>
        </w:rPr>
        <w:t>10</w:t>
      </w:r>
      <w:r w:rsidRPr="003B2367">
        <w:rPr>
          <w:rFonts w:ascii="Times New Roman" w:hAnsi="Times New Roman"/>
          <w:b/>
          <w:sz w:val="24"/>
          <w:u w:val="single"/>
        </w:rPr>
        <w:t>.0 Confidentiality of Submissions</w:t>
      </w:r>
    </w:p>
    <w:p w14:paraId="6C00BC4D" w14:textId="77777777" w:rsidR="00B02384" w:rsidRPr="003B2367" w:rsidRDefault="00B02384" w:rsidP="00B02384">
      <w:pPr>
        <w:spacing w:line="360" w:lineRule="auto"/>
        <w:jc w:val="both"/>
        <w:rPr>
          <w:rFonts w:ascii="Times New Roman" w:hAnsi="Times New Roman"/>
          <w:b/>
          <w:sz w:val="24"/>
          <w:u w:val="single"/>
        </w:rPr>
      </w:pPr>
    </w:p>
    <w:p w14:paraId="1689FCEB"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46B87E31"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2C439B8A" w14:textId="60BCF458" w:rsidR="00B02384" w:rsidRPr="008177B4" w:rsidRDefault="00B02384" w:rsidP="008177B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38B2C9B6" w14:textId="77777777" w:rsidR="00B02384" w:rsidRDefault="00B02384" w:rsidP="00B0238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BB046D3" w14:textId="04A3A685" w:rsidR="00B02384" w:rsidRPr="00AA35C3" w:rsidRDefault="00B02384" w:rsidP="004301C3">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A0F1DD2" w14:textId="77777777" w:rsidR="00B02384" w:rsidRDefault="00B02384" w:rsidP="004301C3">
      <w:pPr>
        <w:spacing w:line="360" w:lineRule="auto"/>
        <w:jc w:val="both"/>
        <w:rPr>
          <w:rFonts w:ascii="Times New Roman" w:hAnsi="Times New Roman"/>
          <w:b/>
          <w:sz w:val="24"/>
          <w:u w:val="single"/>
        </w:rPr>
      </w:pPr>
    </w:p>
    <w:p w14:paraId="29C0DCF0" w14:textId="140E594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B02384">
        <w:rPr>
          <w:rFonts w:ascii="Times New Roman" w:hAnsi="Times New Roman"/>
          <w:b/>
          <w:sz w:val="24"/>
          <w:u w:val="single"/>
        </w:rPr>
        <w:t>1</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0835B7E7"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0"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0FDCC67A" w14:textId="77777777" w:rsidR="004301C3" w:rsidRPr="003B2367" w:rsidRDefault="004301C3" w:rsidP="004301C3">
      <w:pPr>
        <w:spacing w:line="360" w:lineRule="auto"/>
        <w:jc w:val="both"/>
        <w:rPr>
          <w:rFonts w:ascii="Times New Roman" w:hAnsi="Times New Roman"/>
          <w:sz w:val="24"/>
        </w:rPr>
      </w:pPr>
    </w:p>
    <w:p w14:paraId="23B6FA95" w14:textId="77777777" w:rsidR="004301C3" w:rsidRPr="003B2367" w:rsidRDefault="004301C3" w:rsidP="004301C3">
      <w:pPr>
        <w:spacing w:line="360" w:lineRule="auto"/>
        <w:jc w:val="both"/>
        <w:rPr>
          <w:rFonts w:ascii="Times New Roman" w:hAnsi="Times New Roman"/>
          <w:sz w:val="24"/>
        </w:rPr>
      </w:pPr>
    </w:p>
    <w:p w14:paraId="3DB7EBD0"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Lili Kankaya</w:t>
      </w:r>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37" w:name="_gjdgxs" w:colFirst="0" w:colLast="0"/>
      <w:bookmarkEnd w:id="37"/>
      <w:r w:rsidRPr="003B2367">
        <w:rPr>
          <w:rFonts w:ascii="Times New Roman" w:hAnsi="Times New Roman"/>
          <w:sz w:val="24"/>
        </w:rPr>
        <w:t xml:space="preserve">Email: </w:t>
      </w:r>
      <w:hyperlink r:id="rId21" w:history="1">
        <w:r w:rsidRPr="002D2856">
          <w:rPr>
            <w:rStyle w:val="Hyperlink"/>
          </w:rPr>
          <w:t>lili.vasileva@gov.mt</w:t>
        </w:r>
      </w:hyperlink>
      <w:r>
        <w:t xml:space="preserve"> </w:t>
      </w:r>
    </w:p>
    <w:p w14:paraId="4EF60BF1" w14:textId="77777777" w:rsidR="00F01B62" w:rsidRDefault="00F01B62" w:rsidP="00F01B62">
      <w:pPr>
        <w:spacing w:line="360" w:lineRule="auto"/>
        <w:rPr>
          <w:rFonts w:ascii="Times New Roman" w:hAnsi="Times New Roman"/>
          <w:sz w:val="24"/>
        </w:rPr>
      </w:pPr>
      <w:r>
        <w:rPr>
          <w:rFonts w:ascii="Times New Roman" w:hAnsi="Times New Roman"/>
          <w:sz w:val="24"/>
        </w:rPr>
        <w:br/>
      </w: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2"/>
      <w:footerReference w:type="default" r:id="rId23"/>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715B" w14:textId="77777777" w:rsidR="00855545" w:rsidRDefault="00855545">
      <w:r w:rsidRPr="00241016">
        <w:rPr>
          <w:rFonts w:cs="Arial"/>
          <w:i/>
          <w:sz w:val="18"/>
          <w:szCs w:val="18"/>
        </w:rPr>
        <w:t xml:space="preserve"> ca</w:t>
      </w:r>
    </w:p>
  </w:endnote>
  <w:endnote w:type="continuationSeparator" w:id="0">
    <w:p w14:paraId="088BDA63" w14:textId="77777777" w:rsidR="00855545" w:rsidRDefault="00855545">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539F" w14:textId="77777777" w:rsidR="00855545" w:rsidRDefault="00855545">
      <w:r w:rsidRPr="00241016">
        <w:rPr>
          <w:rFonts w:cs="Arial"/>
          <w:i/>
          <w:sz w:val="18"/>
          <w:szCs w:val="18"/>
        </w:rPr>
        <w:t>pro</w:t>
      </w:r>
    </w:p>
  </w:footnote>
  <w:footnote w:type="continuationSeparator" w:id="0">
    <w:p w14:paraId="66D5174F" w14:textId="77777777" w:rsidR="00855545" w:rsidRDefault="00855545">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5"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1"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2E79"/>
    <w:multiLevelType w:val="hybridMultilevel"/>
    <w:tmpl w:val="C4965208"/>
    <w:lvl w:ilvl="0" w:tplc="2400A0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4"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6"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abstractNumId w:val="11"/>
  </w:num>
  <w:num w:numId="2">
    <w:abstractNumId w:val="20"/>
  </w:num>
  <w:num w:numId="3">
    <w:abstractNumId w:val="31"/>
  </w:num>
  <w:num w:numId="4">
    <w:abstractNumId w:val="37"/>
  </w:num>
  <w:num w:numId="5">
    <w:abstractNumId w:val="35"/>
  </w:num>
  <w:num w:numId="6">
    <w:abstractNumId w:val="18"/>
  </w:num>
  <w:num w:numId="7">
    <w:abstractNumId w:val="28"/>
  </w:num>
  <w:num w:numId="8">
    <w:abstractNumId w:val="33"/>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25"/>
  </w:num>
  <w:num w:numId="22">
    <w:abstractNumId w:val="17"/>
  </w:num>
  <w:num w:numId="23">
    <w:abstractNumId w:val="30"/>
  </w:num>
  <w:num w:numId="24">
    <w:abstractNumId w:val="23"/>
  </w:num>
  <w:num w:numId="25">
    <w:abstractNumId w:val="24"/>
  </w:num>
  <w:num w:numId="26">
    <w:abstractNumId w:val="15"/>
  </w:num>
  <w:num w:numId="27">
    <w:abstractNumId w:val="27"/>
  </w:num>
  <w:num w:numId="28">
    <w:abstractNumId w:val="26"/>
  </w:num>
  <w:num w:numId="29">
    <w:abstractNumId w:val="16"/>
  </w:num>
  <w:num w:numId="30">
    <w:abstractNumId w:val="13"/>
  </w:num>
  <w:num w:numId="31">
    <w:abstractNumId w:val="22"/>
  </w:num>
  <w:num w:numId="32">
    <w:abstractNumId w:val="14"/>
  </w:num>
  <w:num w:numId="33">
    <w:abstractNumId w:val="10"/>
  </w:num>
  <w:num w:numId="34">
    <w:abstractNumId w:val="19"/>
  </w:num>
  <w:num w:numId="35">
    <w:abstractNumId w:val="34"/>
  </w:num>
  <w:num w:numId="36">
    <w:abstractNumId w:val="21"/>
  </w:num>
  <w:num w:numId="37">
    <w:abstractNumId w:val="12"/>
  </w:num>
  <w:num w:numId="38">
    <w:abstractNumId w:val="13"/>
  </w:num>
  <w:num w:numId="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271"/>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127A"/>
    <w:rsid w:val="000B2FD6"/>
    <w:rsid w:val="000B2FFA"/>
    <w:rsid w:val="000B45FB"/>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3"/>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7297"/>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1DC0"/>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4328"/>
    <w:rsid w:val="002751DC"/>
    <w:rsid w:val="00275839"/>
    <w:rsid w:val="0027662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636"/>
    <w:rsid w:val="00292F25"/>
    <w:rsid w:val="00293A04"/>
    <w:rsid w:val="002952F1"/>
    <w:rsid w:val="0029764B"/>
    <w:rsid w:val="002A00CF"/>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A63"/>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0987"/>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2B97"/>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08D"/>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2CFE"/>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388"/>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345"/>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755"/>
    <w:rsid w:val="005459B6"/>
    <w:rsid w:val="00547523"/>
    <w:rsid w:val="005477FE"/>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2D5"/>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0ED5"/>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289D"/>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B99"/>
    <w:rsid w:val="0077607A"/>
    <w:rsid w:val="00776C40"/>
    <w:rsid w:val="00777D36"/>
    <w:rsid w:val="0078003E"/>
    <w:rsid w:val="00780442"/>
    <w:rsid w:val="00780454"/>
    <w:rsid w:val="00780853"/>
    <w:rsid w:val="0078113B"/>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177B4"/>
    <w:rsid w:val="008202A3"/>
    <w:rsid w:val="00820427"/>
    <w:rsid w:val="0082192A"/>
    <w:rsid w:val="0082194B"/>
    <w:rsid w:val="00822155"/>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5545"/>
    <w:rsid w:val="008562F3"/>
    <w:rsid w:val="00857295"/>
    <w:rsid w:val="00857D1E"/>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655"/>
    <w:rsid w:val="00915723"/>
    <w:rsid w:val="00915A2B"/>
    <w:rsid w:val="00915C62"/>
    <w:rsid w:val="0091776A"/>
    <w:rsid w:val="00917A52"/>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3F2B"/>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900"/>
    <w:rsid w:val="009E14C9"/>
    <w:rsid w:val="009E14EB"/>
    <w:rsid w:val="009E17FF"/>
    <w:rsid w:val="009E1937"/>
    <w:rsid w:val="009E2F17"/>
    <w:rsid w:val="009E3348"/>
    <w:rsid w:val="009E4022"/>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0674"/>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1EE3"/>
    <w:rsid w:val="00A621C6"/>
    <w:rsid w:val="00A64CDA"/>
    <w:rsid w:val="00A64E73"/>
    <w:rsid w:val="00A653EC"/>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48"/>
    <w:rsid w:val="00AA02B3"/>
    <w:rsid w:val="00AA09E3"/>
    <w:rsid w:val="00AA0C3D"/>
    <w:rsid w:val="00AA1936"/>
    <w:rsid w:val="00AA1FD5"/>
    <w:rsid w:val="00AA30A0"/>
    <w:rsid w:val="00AA3170"/>
    <w:rsid w:val="00AA35C3"/>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1ACD"/>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B98"/>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A5C"/>
    <w:rsid w:val="00AF7EF3"/>
    <w:rsid w:val="00B0002A"/>
    <w:rsid w:val="00B004D3"/>
    <w:rsid w:val="00B00870"/>
    <w:rsid w:val="00B01000"/>
    <w:rsid w:val="00B01712"/>
    <w:rsid w:val="00B02384"/>
    <w:rsid w:val="00B02DD2"/>
    <w:rsid w:val="00B04419"/>
    <w:rsid w:val="00B04A4C"/>
    <w:rsid w:val="00B04AF2"/>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6222"/>
    <w:rsid w:val="00B46840"/>
    <w:rsid w:val="00B46910"/>
    <w:rsid w:val="00B479B1"/>
    <w:rsid w:val="00B5225C"/>
    <w:rsid w:val="00B529E5"/>
    <w:rsid w:val="00B52D3E"/>
    <w:rsid w:val="00B53310"/>
    <w:rsid w:val="00B53B4B"/>
    <w:rsid w:val="00B54624"/>
    <w:rsid w:val="00B5486A"/>
    <w:rsid w:val="00B5597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4D8"/>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2D0"/>
    <w:rsid w:val="00C94FE9"/>
    <w:rsid w:val="00C95543"/>
    <w:rsid w:val="00C95EC5"/>
    <w:rsid w:val="00C961F3"/>
    <w:rsid w:val="00C96F34"/>
    <w:rsid w:val="00C9756B"/>
    <w:rsid w:val="00C97E18"/>
    <w:rsid w:val="00CA0288"/>
    <w:rsid w:val="00CA05FF"/>
    <w:rsid w:val="00CA0BEB"/>
    <w:rsid w:val="00CA14DC"/>
    <w:rsid w:val="00CA2924"/>
    <w:rsid w:val="00CA2BF8"/>
    <w:rsid w:val="00CA381E"/>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93B"/>
    <w:rsid w:val="00CB7A9C"/>
    <w:rsid w:val="00CC0077"/>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0EFB"/>
    <w:rsid w:val="00CE1426"/>
    <w:rsid w:val="00CE187E"/>
    <w:rsid w:val="00CE2B05"/>
    <w:rsid w:val="00CE38CB"/>
    <w:rsid w:val="00CE3B42"/>
    <w:rsid w:val="00CE3ED2"/>
    <w:rsid w:val="00CE3F62"/>
    <w:rsid w:val="00CE4448"/>
    <w:rsid w:val="00CE6AD6"/>
    <w:rsid w:val="00CE6D9D"/>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05FB2"/>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0E3"/>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C35"/>
    <w:rsid w:val="00DC12D4"/>
    <w:rsid w:val="00DC165B"/>
    <w:rsid w:val="00DC2875"/>
    <w:rsid w:val="00DC2CF4"/>
    <w:rsid w:val="00DC323F"/>
    <w:rsid w:val="00DC45E0"/>
    <w:rsid w:val="00DC5E75"/>
    <w:rsid w:val="00DC5EB0"/>
    <w:rsid w:val="00DC62E7"/>
    <w:rsid w:val="00DC6448"/>
    <w:rsid w:val="00DC6863"/>
    <w:rsid w:val="00DC6B2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065C"/>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045"/>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768"/>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7B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C65E7"/>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sites/default/files/document/file/ERC_2021_work_programme.pdf" TargetMode="External"/><Relationship Id="rId18" Type="http://schemas.openxmlformats.org/officeDocument/2006/relationships/hyperlink" Target="mailto:horizon.malta@gov.mt" TargetMode="External"/><Relationship Id="rId3" Type="http://schemas.openxmlformats.org/officeDocument/2006/relationships/styles" Target="styles.xml"/><Relationship Id="rId21" Type="http://schemas.openxmlformats.org/officeDocument/2006/relationships/hyperlink" Target="mailto:lili.vasileva@gov.mt" TargetMode="External"/><Relationship Id="rId7" Type="http://schemas.openxmlformats.org/officeDocument/2006/relationships/endnotes" Target="endnotes.xml"/><Relationship Id="rId12" Type="http://schemas.openxmlformats.org/officeDocument/2006/relationships/hyperlink" Target="https://erc.europa.eu/" TargetMode="External"/><Relationship Id="rId17" Type="http://schemas.openxmlformats.org/officeDocument/2006/relationships/hyperlink" Target="mailto:horizon.malta@gov.m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rizon.malta@gov.mt" TargetMode="External"/><Relationship Id="rId20" Type="http://schemas.openxmlformats.org/officeDocument/2006/relationships/hyperlink" Target="mailto:horizon.malt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sites/default/files/document/file/Guidelines_ERC_Mentoring_Initiativ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gate.ec.europa.eu/erc/webexp/files/erc_rules_on_conflict_of_interest.pdf" TargetMode="External"/><Relationship Id="rId23" Type="http://schemas.openxmlformats.org/officeDocument/2006/relationships/footer" Target="footer1.xml"/><Relationship Id="rId10" Type="http://schemas.openxmlformats.org/officeDocument/2006/relationships/hyperlink" Target="https://erc.europa.eu/news/new-mentoring-scheme" TargetMode="External"/><Relationship Id="rId19" Type="http://schemas.openxmlformats.org/officeDocument/2006/relationships/hyperlink" Target="mailto:lili.vasilev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E48D-B6B2-EE42-9B7B-A1EEC629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3389</Words>
  <Characters>19169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22513</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13</cp:revision>
  <cp:lastPrinted>2020-05-04T15:10:00Z</cp:lastPrinted>
  <dcterms:created xsi:type="dcterms:W3CDTF">2021-04-15T13:43:00Z</dcterms:created>
  <dcterms:modified xsi:type="dcterms:W3CDTF">2021-10-08T06:44:00Z</dcterms:modified>
</cp:coreProperties>
</file>