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F51A" w14:textId="0F523454" w:rsidR="00215B4F" w:rsidRDefault="00215B4F" w:rsidP="005F5772">
      <w:pPr>
        <w:pStyle w:val="Title"/>
        <w:jc w:val="both"/>
        <w:rPr>
          <w:sz w:val="48"/>
          <w:szCs w:val="48"/>
          <w:lang w:val="en-US"/>
        </w:rPr>
      </w:pPr>
    </w:p>
    <w:p w14:paraId="1496D142" w14:textId="77777777" w:rsidR="00215B4F" w:rsidRDefault="00215B4F" w:rsidP="005F5772">
      <w:pPr>
        <w:pStyle w:val="Title"/>
        <w:jc w:val="both"/>
        <w:rPr>
          <w:sz w:val="48"/>
          <w:szCs w:val="48"/>
          <w:lang w:val="en-US"/>
        </w:rPr>
      </w:pPr>
    </w:p>
    <w:p w14:paraId="61E60E27" w14:textId="05BCD6B6" w:rsidR="000B1A6C" w:rsidRPr="009B7167" w:rsidRDefault="000B1A6C" w:rsidP="005F5772">
      <w:pPr>
        <w:pStyle w:val="Title"/>
        <w:pBdr>
          <w:bottom w:val="single" w:sz="12" w:space="1" w:color="auto"/>
        </w:pBdr>
        <w:jc w:val="both"/>
        <w:rPr>
          <w:b/>
          <w:bCs/>
          <w:sz w:val="48"/>
          <w:szCs w:val="48"/>
          <w:lang w:val="en-US"/>
        </w:rPr>
      </w:pPr>
      <w:r w:rsidRPr="009B7167">
        <w:rPr>
          <w:b/>
          <w:bCs/>
          <w:sz w:val="48"/>
          <w:szCs w:val="48"/>
          <w:lang w:val="en-US"/>
        </w:rPr>
        <w:t>PARADISE</w:t>
      </w:r>
      <w:r w:rsidR="009B7167" w:rsidRPr="009B7167">
        <w:rPr>
          <w:b/>
          <w:bCs/>
          <w:sz w:val="48"/>
          <w:szCs w:val="48"/>
          <w:lang w:val="en-US"/>
        </w:rPr>
        <w:t xml:space="preserve"> Call</w:t>
      </w:r>
    </w:p>
    <w:p w14:paraId="1038E70A" w14:textId="2A725B17" w:rsidR="000B1A6C" w:rsidRPr="005F5772" w:rsidRDefault="009B7167" w:rsidP="00657A68">
      <w:pPr>
        <w:spacing w:line="240" w:lineRule="auto"/>
        <w:rPr>
          <w:b/>
          <w:bCs/>
          <w:sz w:val="24"/>
          <w:szCs w:val="24"/>
          <w:lang w:val="en-US"/>
        </w:rPr>
      </w:pPr>
      <w:r>
        <w:rPr>
          <w:b/>
          <w:bCs/>
          <w:sz w:val="24"/>
          <w:szCs w:val="24"/>
          <w:lang w:val="en-US"/>
        </w:rPr>
        <w:t xml:space="preserve">Application Form Annex </w:t>
      </w:r>
      <w:r w:rsidR="00BC3448">
        <w:rPr>
          <w:b/>
          <w:bCs/>
          <w:sz w:val="24"/>
          <w:szCs w:val="24"/>
          <w:lang w:val="en-US"/>
        </w:rPr>
        <w:t>1</w:t>
      </w:r>
      <w:r w:rsidR="00637D83">
        <w:rPr>
          <w:b/>
          <w:bCs/>
          <w:sz w:val="24"/>
          <w:szCs w:val="24"/>
          <w:lang w:val="en-US"/>
        </w:rPr>
        <w:t xml:space="preserve"> </w:t>
      </w:r>
      <w:r w:rsidR="00CE039C">
        <w:rPr>
          <w:b/>
          <w:bCs/>
          <w:sz w:val="24"/>
          <w:szCs w:val="24"/>
          <w:lang w:val="en-US"/>
        </w:rPr>
        <w:t xml:space="preserve">– </w:t>
      </w:r>
      <w:r w:rsidR="00BC3448">
        <w:rPr>
          <w:b/>
          <w:bCs/>
          <w:sz w:val="24"/>
          <w:szCs w:val="24"/>
          <w:lang w:val="en-US"/>
        </w:rPr>
        <w:t>Non-</w:t>
      </w:r>
      <w:r w:rsidR="00CE039C">
        <w:rPr>
          <w:b/>
          <w:bCs/>
          <w:sz w:val="24"/>
          <w:szCs w:val="24"/>
          <w:lang w:val="en-US"/>
        </w:rPr>
        <w:t>State Aid</w:t>
      </w:r>
      <w:r>
        <w:rPr>
          <w:b/>
          <w:bCs/>
          <w:sz w:val="24"/>
          <w:szCs w:val="24"/>
          <w:lang w:val="en-US"/>
        </w:rPr>
        <w:t xml:space="preserve"> </w:t>
      </w:r>
      <w:r w:rsidR="00BC3448">
        <w:rPr>
          <w:b/>
          <w:bCs/>
          <w:sz w:val="24"/>
          <w:szCs w:val="24"/>
          <w:lang w:val="en-US"/>
        </w:rPr>
        <w:t>“Justification”</w:t>
      </w:r>
    </w:p>
    <w:p w14:paraId="0FE16311" w14:textId="6259FBA6" w:rsidR="00215B4F" w:rsidRDefault="00772ECD">
      <w:pPr>
        <w:rPr>
          <w:sz w:val="24"/>
          <w:szCs w:val="24"/>
          <w:lang w:val="en-US"/>
        </w:rPr>
      </w:pPr>
      <w:r>
        <w:rPr>
          <w:noProof/>
          <w:sz w:val="24"/>
          <w:szCs w:val="24"/>
          <w:lang w:val="en-US"/>
        </w:rPr>
        <w:drawing>
          <wp:anchor distT="0" distB="0" distL="0" distR="0" simplePos="0" relativeHeight="251658240" behindDoc="1" locked="0" layoutInCell="1" allowOverlap="1" wp14:anchorId="71B0A64D" wp14:editId="34F8D277">
            <wp:simplePos x="0" y="0"/>
            <wp:positionH relativeFrom="margin">
              <wp:posOffset>-607060</wp:posOffset>
            </wp:positionH>
            <wp:positionV relativeFrom="margin">
              <wp:posOffset>3015302</wp:posOffset>
            </wp:positionV>
            <wp:extent cx="7161781" cy="5215245"/>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r="5869"/>
                    <a:stretch>
                      <a:fillRect/>
                    </a:stretch>
                  </pic:blipFill>
                  <pic:spPr bwMode="auto">
                    <a:xfrm>
                      <a:off x="0" y="0"/>
                      <a:ext cx="7161781" cy="5215245"/>
                    </a:xfrm>
                    <a:prstGeom prst="rect">
                      <a:avLst/>
                    </a:prstGeom>
                    <a:noFill/>
                  </pic:spPr>
                </pic:pic>
              </a:graphicData>
            </a:graphic>
            <wp14:sizeRelH relativeFrom="page">
              <wp14:pctWidth>0</wp14:pctWidth>
            </wp14:sizeRelH>
            <wp14:sizeRelV relativeFrom="page">
              <wp14:pctHeight>0</wp14:pctHeight>
            </wp14:sizeRelV>
          </wp:anchor>
        </w:drawing>
      </w:r>
      <w:r w:rsidR="000C3FBF">
        <w:rPr>
          <w:sz w:val="24"/>
          <w:szCs w:val="24"/>
          <w:lang w:val="en-US"/>
        </w:rPr>
        <w:br w:type="page"/>
      </w:r>
    </w:p>
    <w:p w14:paraId="796D863D" w14:textId="04BCC7C0" w:rsidR="009B7167" w:rsidRDefault="00394D0A" w:rsidP="009B7167">
      <w:pPr>
        <w:pStyle w:val="Heading1"/>
      </w:pPr>
      <w:r>
        <w:lastRenderedPageBreak/>
        <w:t>Annex</w:t>
      </w:r>
      <w:r w:rsidRPr="00B44065">
        <w:t xml:space="preserve"> </w:t>
      </w:r>
      <w:r w:rsidR="009B7167" w:rsidRPr="00B44065">
        <w:t>1</w:t>
      </w:r>
    </w:p>
    <w:p w14:paraId="0427B387" w14:textId="77777777" w:rsidR="00A44EA5" w:rsidRDefault="00A44EA5" w:rsidP="00BC3448">
      <w:pPr>
        <w:rPr>
          <w:rFonts w:eastAsia="Batang" w:cstheme="minorHAnsi"/>
          <w:sz w:val="24"/>
          <w:szCs w:val="24"/>
          <w:lang w:eastAsia="ko-KR"/>
        </w:rPr>
      </w:pPr>
    </w:p>
    <w:p w14:paraId="2D59DBA5" w14:textId="5947C8B8" w:rsidR="00BC3448" w:rsidRPr="00BC3448" w:rsidRDefault="00BC3448" w:rsidP="00BC3448">
      <w:r w:rsidRPr="00BC3448">
        <w:rPr>
          <w:rFonts w:eastAsia="Batang" w:cstheme="minorHAnsi"/>
          <w:sz w:val="24"/>
          <w:szCs w:val="24"/>
          <w:lang w:eastAsia="ko-KR"/>
        </w:rPr>
        <w:t xml:space="preserve">Non-State Aid Applications shall need to abide </w:t>
      </w:r>
      <w:r w:rsidR="00394D0A">
        <w:rPr>
          <w:rFonts w:eastAsia="Batang" w:cstheme="minorHAnsi"/>
          <w:sz w:val="24"/>
          <w:szCs w:val="24"/>
          <w:lang w:eastAsia="ko-KR"/>
        </w:rPr>
        <w:t xml:space="preserve">to one </w:t>
      </w:r>
      <w:r w:rsidRPr="00BC3448">
        <w:rPr>
          <w:rFonts w:eastAsia="Batang" w:cstheme="minorHAnsi"/>
          <w:sz w:val="24"/>
          <w:szCs w:val="24"/>
          <w:lang w:eastAsia="ko-KR"/>
        </w:rPr>
        <w:t>of the below justifications:</w:t>
      </w:r>
    </w:p>
    <w:p w14:paraId="79C3C65F" w14:textId="03F3B62D" w:rsidR="009B7167" w:rsidRDefault="00BC3448" w:rsidP="009B7167">
      <w:pPr>
        <w:keepNext/>
        <w:spacing w:before="240" w:after="60"/>
        <w:jc w:val="center"/>
        <w:outlineLvl w:val="1"/>
        <w:rPr>
          <w:rFonts w:ascii="Times New Roman" w:eastAsia="Batang" w:hAnsi="Times New Roman"/>
          <w:b/>
          <w:iCs/>
          <w:smallCaps/>
          <w:lang w:eastAsia="ko-KR"/>
        </w:rPr>
      </w:pPr>
      <w:r w:rsidRPr="00BC3448">
        <w:rPr>
          <w:rFonts w:ascii="Times New Roman" w:eastAsia="Batang" w:hAnsi="Times New Roman"/>
          <w:b/>
          <w:iCs/>
          <w:smallCaps/>
          <w:lang w:eastAsia="ko-KR"/>
        </w:rPr>
        <w:t>Non-State Aid justifications for – PUBLIC RESEARCH AND KNOWLEDGE DISSEMINATION ORGANISATIONS</w:t>
      </w:r>
    </w:p>
    <w:p w14:paraId="669E2039" w14:textId="74ABB244" w:rsidR="009B7167" w:rsidRPr="005672AB" w:rsidRDefault="009B7167" w:rsidP="009B7167">
      <w:pPr>
        <w:keepNext/>
        <w:spacing w:before="240" w:after="60"/>
        <w:jc w:val="center"/>
        <w:outlineLvl w:val="1"/>
        <w:rPr>
          <w:rFonts w:ascii="Times New Roman" w:eastAsia="Batang" w:hAnsi="Times New Roman"/>
          <w:b/>
          <w:iCs/>
          <w:smallCaps/>
          <w:lang w:eastAsia="ko-KR"/>
        </w:rPr>
      </w:pPr>
      <w:r>
        <w:rPr>
          <w:rFonts w:ascii="Times New Roman" w:eastAsia="Batang" w:hAnsi="Times New Roman"/>
          <w:b/>
          <w:iCs/>
          <w:smallCaps/>
          <w:lang w:eastAsia="ko-KR"/>
        </w:rPr>
        <w:t>PARADISE Call</w:t>
      </w:r>
    </w:p>
    <w:p w14:paraId="2D24C95B" w14:textId="3E0E4136"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b/>
          <w:sz w:val="20"/>
          <w:szCs w:val="20"/>
        </w:rPr>
        <w:t>Eligibility</w:t>
      </w:r>
    </w:p>
    <w:p w14:paraId="774D613A" w14:textId="77777777"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 xml:space="preserve">Eligible </w:t>
      </w:r>
      <w:r>
        <w:rPr>
          <w:rFonts w:ascii="Times New Roman" w:hAnsi="Times New Roman" w:cs="Times New Roman"/>
          <w:sz w:val="20"/>
          <w:szCs w:val="20"/>
        </w:rPr>
        <w:t>public research and knowledge dissemination organisations (</w:t>
      </w:r>
      <w:r w:rsidRPr="00884EC3">
        <w:rPr>
          <w:rFonts w:ascii="Times New Roman" w:hAnsi="Times New Roman" w:cs="Times New Roman"/>
          <w:sz w:val="20"/>
          <w:szCs w:val="20"/>
        </w:rPr>
        <w:t>RO</w:t>
      </w:r>
      <w:r>
        <w:rPr>
          <w:rFonts w:ascii="Times New Roman" w:hAnsi="Times New Roman" w:cs="Times New Roman"/>
          <w:sz w:val="20"/>
          <w:szCs w:val="20"/>
        </w:rPr>
        <w:t>)</w:t>
      </w:r>
      <w:r w:rsidRPr="00884EC3">
        <w:rPr>
          <w:rFonts w:ascii="Times New Roman" w:hAnsi="Times New Roman" w:cs="Times New Roman"/>
          <w:sz w:val="20"/>
          <w:szCs w:val="20"/>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rPr>
        <w:t xml:space="preserve"> on a non-discriminatory basis</w:t>
      </w:r>
      <w:r w:rsidRPr="00884EC3">
        <w:rPr>
          <w:rFonts w:ascii="Times New Roman" w:hAnsi="Times New Roman" w:cs="Times New Roman"/>
          <w:sz w:val="20"/>
          <w:szCs w:val="20"/>
        </w:rPr>
        <w:t>.</w:t>
      </w:r>
    </w:p>
    <w:p w14:paraId="6E97DE9C" w14:textId="77777777" w:rsidR="00BC3448" w:rsidRPr="00884EC3" w:rsidRDefault="00BC3448" w:rsidP="00BC3448">
      <w:pPr>
        <w:rPr>
          <w:rFonts w:ascii="Times New Roman" w:hAnsi="Times New Roman" w:cs="Times New Roman"/>
          <w:b/>
          <w:bCs/>
          <w:sz w:val="20"/>
          <w:szCs w:val="20"/>
        </w:rPr>
      </w:pPr>
      <w:r w:rsidRPr="00884EC3">
        <w:rPr>
          <w:rFonts w:ascii="Times New Roman" w:hAnsi="Times New Roman" w:cs="Times New Roman"/>
          <w:b/>
          <w:bCs/>
          <w:sz w:val="20"/>
          <w:szCs w:val="20"/>
        </w:rPr>
        <w:t>Justifications</w:t>
      </w:r>
    </w:p>
    <w:p w14:paraId="53440048" w14:textId="77777777"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Any economic activities of the RO must consume the same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0E8F6D3F" w14:textId="77777777" w:rsidR="00A44EA5" w:rsidRDefault="00A44EA5" w:rsidP="00A44EA5">
      <w:pPr>
        <w:ind w:right="141"/>
        <w:jc w:val="both"/>
        <w:rPr>
          <w:rFonts w:ascii="Times New Roman" w:hAnsi="Times New Roman" w:cs="Times New Roman"/>
          <w:sz w:val="20"/>
          <w:szCs w:val="20"/>
          <w:lang w:val="en-US"/>
        </w:rPr>
      </w:pPr>
    </w:p>
    <w:p w14:paraId="14AC0D75" w14:textId="07EC47E9" w:rsidR="00A44EA5" w:rsidRPr="00A44EA5" w:rsidRDefault="00A44EA5" w:rsidP="00A44EA5">
      <w:pPr>
        <w:ind w:right="141"/>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Project Application: _____________________________</w:t>
      </w:r>
    </w:p>
    <w:p w14:paraId="278D06BD" w14:textId="77777777" w:rsidR="00A44EA5" w:rsidRPr="00A44EA5" w:rsidRDefault="00A44EA5" w:rsidP="00A44EA5">
      <w:pPr>
        <w:ind w:right="141"/>
        <w:jc w:val="both"/>
        <w:rPr>
          <w:rFonts w:ascii="Times New Roman" w:hAnsi="Times New Roman" w:cs="Times New Roman"/>
          <w:sz w:val="20"/>
          <w:szCs w:val="20"/>
          <w:lang w:val="en-US"/>
        </w:rPr>
      </w:pPr>
    </w:p>
    <w:p w14:paraId="68485434" w14:textId="77777777" w:rsidR="00A44EA5" w:rsidRPr="00A44EA5" w:rsidRDefault="00A44EA5" w:rsidP="00A44EA5">
      <w:pPr>
        <w:ind w:right="141"/>
        <w:jc w:val="both"/>
        <w:rPr>
          <w:rFonts w:ascii="Times New Roman" w:hAnsi="Times New Roman" w:cs="Times New Roman"/>
          <w:sz w:val="20"/>
          <w:szCs w:val="20"/>
          <w:lang w:val="en-US"/>
        </w:rPr>
      </w:pPr>
    </w:p>
    <w:p w14:paraId="39D33D09" w14:textId="77777777" w:rsidR="00A44EA5" w:rsidRPr="00A44EA5" w:rsidRDefault="00A44EA5" w:rsidP="00A44EA5">
      <w:pPr>
        <w:ind w:right="141"/>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The Applicant, __________________________________, declares the following:</w:t>
      </w:r>
    </w:p>
    <w:p w14:paraId="72CB9C80" w14:textId="20D2676B" w:rsidR="00BC3448" w:rsidRPr="00884EC3" w:rsidRDefault="00BC3448" w:rsidP="00BC3448">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Pr="00884EC3">
        <w:rPr>
          <w:rFonts w:ascii="Times New Roman" w:hAnsi="Times New Roman" w:cs="Times New Roman"/>
          <w:sz w:val="20"/>
          <w:szCs w:val="20"/>
        </w:rPr>
        <w:t xml:space="preserve">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w:t>
      </w:r>
      <w:r w:rsidR="00570E0E">
        <w:rPr>
          <w:rFonts w:ascii="Times New Roman" w:hAnsi="Times New Roman" w:cs="Times New Roman"/>
          <w:sz w:val="20"/>
          <w:szCs w:val="20"/>
        </w:rPr>
        <w:t xml:space="preserve">either of </w:t>
      </w:r>
      <w:r w:rsidRPr="00884EC3">
        <w:rPr>
          <w:rFonts w:ascii="Times New Roman" w:hAnsi="Times New Roman" w:cs="Times New Roman"/>
          <w:sz w:val="20"/>
          <w:szCs w:val="20"/>
        </w:rPr>
        <w:t>the following:</w:t>
      </w:r>
    </w:p>
    <w:p w14:paraId="083FCC3F" w14:textId="77777777" w:rsidR="00BC3448" w:rsidRPr="00884EC3" w:rsidRDefault="00BC3448" w:rsidP="00BC3448">
      <w:pPr>
        <w:numPr>
          <w:ilvl w:val="0"/>
          <w:numId w:val="27"/>
        </w:numPr>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 xml:space="preserve">primary activities of research organisations and research infrastructures, in </w:t>
      </w:r>
    </w:p>
    <w:p w14:paraId="128B362D" w14:textId="77777777" w:rsidR="00BC3448" w:rsidRPr="00884EC3" w:rsidRDefault="00BC3448" w:rsidP="00BC3448">
      <w:pPr>
        <w:adjustRightInd w:val="0"/>
        <w:ind w:left="1080"/>
        <w:jc w:val="both"/>
        <w:rPr>
          <w:rFonts w:ascii="Times New Roman" w:hAnsi="Times New Roman" w:cs="Times New Roman"/>
          <w:sz w:val="20"/>
          <w:szCs w:val="20"/>
        </w:rPr>
      </w:pPr>
      <w:r w:rsidRPr="00884EC3">
        <w:rPr>
          <w:rFonts w:ascii="Times New Roman" w:hAnsi="Times New Roman" w:cs="Times New Roman"/>
          <w:sz w:val="20"/>
          <w:szCs w:val="20"/>
        </w:rPr>
        <w:t>particular:</w:t>
      </w:r>
    </w:p>
    <w:p w14:paraId="01AA130D" w14:textId="77777777" w:rsidR="00BC3448" w:rsidRPr="00884EC3" w:rsidRDefault="00BC3448" w:rsidP="00BC3448">
      <w:pPr>
        <w:numPr>
          <w:ilvl w:val="0"/>
          <w:numId w:val="28"/>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education for more and better skilled human resources which is not offered for remuneration. </w:t>
      </w:r>
    </w:p>
    <w:p w14:paraId="74A97DC3" w14:textId="77777777" w:rsidR="00BC3448" w:rsidRPr="00884EC3" w:rsidRDefault="00BC3448" w:rsidP="00BC3448">
      <w:pPr>
        <w:numPr>
          <w:ilvl w:val="0"/>
          <w:numId w:val="28"/>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independent R&amp;D for more knowledge and better understanding, including collaborative R&amp;D where the research organisation or research infrastructure engages in effective collaboration;</w:t>
      </w:r>
    </w:p>
    <w:p w14:paraId="254A89D8" w14:textId="77777777" w:rsidR="00BC3448" w:rsidRPr="00884EC3" w:rsidRDefault="00BC3448" w:rsidP="00BC3448">
      <w:pPr>
        <w:numPr>
          <w:ilvl w:val="0"/>
          <w:numId w:val="28"/>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wide dissemination of research results on a non-exclusive and non-discriminatory basis, for example through teaching, open-access databases, open publications or open software;</w:t>
      </w:r>
    </w:p>
    <w:p w14:paraId="3796E6FB" w14:textId="77777777" w:rsidR="00BC3448" w:rsidRPr="00884EC3" w:rsidRDefault="00BC3448" w:rsidP="00BC3448">
      <w:pPr>
        <w:adjustRightInd w:val="0"/>
        <w:ind w:left="1701"/>
        <w:jc w:val="both"/>
        <w:rPr>
          <w:rFonts w:ascii="Times New Roman" w:hAnsi="Times New Roman" w:cs="Times New Roman"/>
          <w:sz w:val="20"/>
          <w:szCs w:val="20"/>
        </w:rPr>
      </w:pPr>
    </w:p>
    <w:p w14:paraId="3327F7E9" w14:textId="77777777" w:rsidR="00BC3448" w:rsidRPr="00884EC3" w:rsidRDefault="00BC3448" w:rsidP="00BC3448">
      <w:pPr>
        <w:numPr>
          <w:ilvl w:val="0"/>
          <w:numId w:val="27"/>
        </w:numPr>
        <w:adjustRightInd w:val="0"/>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1F5E7F7C" w14:textId="77777777" w:rsidR="00BC3448" w:rsidRPr="00884EC3" w:rsidRDefault="00BC3448" w:rsidP="00BC3448">
      <w:pPr>
        <w:adjustRightInd w:val="0"/>
        <w:ind w:left="720"/>
        <w:jc w:val="both"/>
        <w:rPr>
          <w:rFonts w:ascii="Times New Roman" w:hAnsi="Times New Roman" w:cs="Times New Roman"/>
          <w:sz w:val="20"/>
          <w:szCs w:val="20"/>
        </w:rPr>
      </w:pPr>
    </w:p>
    <w:p w14:paraId="074D89B9" w14:textId="05D15231" w:rsidR="00BC3448" w:rsidRPr="00884EC3" w:rsidRDefault="00BC3448" w:rsidP="00BC3448">
      <w:pPr>
        <w:adjustRightInd w:val="0"/>
        <w:ind w:left="720"/>
        <w:jc w:val="both"/>
        <w:rPr>
          <w:rFonts w:ascii="Times New Roman" w:hAnsi="Times New Roman" w:cs="Times New Roman"/>
          <w:sz w:val="20"/>
          <w:szCs w:val="20"/>
        </w:rPr>
      </w:pPr>
      <w:r w:rsidRPr="00884EC3">
        <w:rPr>
          <w:rFonts w:ascii="Times New Roman" w:hAnsi="Times New Roman" w:cs="Times New Roman"/>
          <w:sz w:val="20"/>
          <w:szCs w:val="20"/>
        </w:rPr>
        <w:lastRenderedPageBreak/>
        <w:t xml:space="preserve">The Applicant will </w:t>
      </w:r>
      <w:r w:rsidR="00A44EA5">
        <w:rPr>
          <w:rFonts w:ascii="Times New Roman" w:hAnsi="Times New Roman" w:cs="Times New Roman"/>
          <w:sz w:val="20"/>
          <w:szCs w:val="20"/>
        </w:rPr>
        <w:t xml:space="preserve">be obliged </w:t>
      </w:r>
      <w:r w:rsidRPr="00884EC3">
        <w:rPr>
          <w:rFonts w:ascii="Times New Roman" w:hAnsi="Times New Roman" w:cs="Times New Roman"/>
          <w:sz w:val="20"/>
          <w:szCs w:val="20"/>
        </w:rPr>
        <w:t>to:</w:t>
      </w:r>
    </w:p>
    <w:p w14:paraId="44A9313C" w14:textId="77777777" w:rsidR="00BC3448" w:rsidRDefault="00BC3448" w:rsidP="00BC3448">
      <w:pPr>
        <w:numPr>
          <w:ilvl w:val="0"/>
          <w:numId w:val="29"/>
        </w:numPr>
        <w:jc w:val="both"/>
        <w:rPr>
          <w:rFonts w:ascii="Times New Roman" w:hAnsi="Times New Roman" w:cs="Times New Roman"/>
          <w:sz w:val="20"/>
          <w:szCs w:val="20"/>
        </w:rPr>
      </w:pPr>
      <w:r w:rsidRPr="00884EC3">
        <w:rPr>
          <w:rFonts w:ascii="Times New Roman" w:hAnsi="Times New Roman" w:cs="Times New Roman"/>
          <w:sz w:val="20"/>
          <w:szCs w:val="20"/>
        </w:rPr>
        <w:t>publicise widely the results of the research;</w:t>
      </w:r>
    </w:p>
    <w:p w14:paraId="29D29906" w14:textId="77777777" w:rsidR="00BC3448" w:rsidRDefault="00BC3448" w:rsidP="00BC3448">
      <w:pPr>
        <w:numPr>
          <w:ilvl w:val="0"/>
          <w:numId w:val="29"/>
        </w:numPr>
        <w:jc w:val="both"/>
        <w:rPr>
          <w:rFonts w:ascii="Times New Roman" w:hAnsi="Times New Roman" w:cs="Times New Roman"/>
          <w:sz w:val="20"/>
          <w:szCs w:val="20"/>
        </w:rPr>
      </w:pPr>
      <w:r w:rsidRPr="00884EC3">
        <w:rPr>
          <w:rFonts w:ascii="Times New Roman" w:hAnsi="Times New Roman" w:cs="Times New Roman"/>
          <w:sz w:val="20"/>
          <w:szCs w:val="20"/>
        </w:rPr>
        <w:t>license on non-discriminatory terms any Intellectual Property Rights (IPRs) resulting from the research at the market price for the said IPR;</w:t>
      </w:r>
    </w:p>
    <w:p w14:paraId="0F4546EF" w14:textId="77777777" w:rsidR="00BC3448" w:rsidRDefault="00BC3448" w:rsidP="00BC3448">
      <w:pPr>
        <w:numPr>
          <w:ilvl w:val="0"/>
          <w:numId w:val="29"/>
        </w:numPr>
        <w:jc w:val="both"/>
        <w:rPr>
          <w:rFonts w:ascii="Times New Roman" w:hAnsi="Times New Roman" w:cs="Times New Roman"/>
          <w:sz w:val="20"/>
          <w:szCs w:val="20"/>
        </w:rPr>
      </w:pPr>
      <w:r w:rsidRPr="00884EC3">
        <w:rPr>
          <w:rFonts w:ascii="Times New Roman" w:hAnsi="Times New Roman" w:cs="Times New Roman"/>
          <w:sz w:val="20"/>
          <w:szCs w:val="20"/>
        </w:rPr>
        <w:t>any income from the licensing of IPR shall be reinvested in the primary educational and research activities of the Beneficiary;</w:t>
      </w:r>
    </w:p>
    <w:p w14:paraId="6FBF0ACD" w14:textId="77777777" w:rsidR="00BC3448" w:rsidRPr="00884EC3" w:rsidRDefault="00BC3448" w:rsidP="00BC3448">
      <w:pPr>
        <w:numPr>
          <w:ilvl w:val="0"/>
          <w:numId w:val="29"/>
        </w:numPr>
        <w:jc w:val="both"/>
        <w:rPr>
          <w:rFonts w:ascii="Times New Roman" w:hAnsi="Times New Roman" w:cs="Times New Roman"/>
          <w:sz w:val="20"/>
          <w:szCs w:val="20"/>
        </w:rPr>
      </w:pPr>
      <w:r w:rsidRPr="00884EC3">
        <w:rPr>
          <w:rFonts w:ascii="Times New Roman" w:hAnsi="Times New Roman" w:cs="Times New Roman"/>
          <w:sz w:val="20"/>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0F0E3B5C" w14:textId="1F697583"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 xml:space="preserve">The Applicant understands that, should the eventual R&amp;I activities be found to be in breach of the conditions for being exempt from State Aid rules, the Managing Authority will enforce the retrieval of funds provided under the </w:t>
      </w:r>
      <w:r>
        <w:rPr>
          <w:rFonts w:ascii="Times New Roman" w:hAnsi="Times New Roman" w:cs="Times New Roman"/>
          <w:sz w:val="20"/>
          <w:szCs w:val="20"/>
        </w:rPr>
        <w:t>PARADISE Call</w:t>
      </w:r>
      <w:r w:rsidRPr="00884EC3">
        <w:rPr>
          <w:rFonts w:ascii="Times New Roman" w:hAnsi="Times New Roman" w:cs="Times New Roman"/>
          <w:sz w:val="20"/>
          <w:szCs w:val="20"/>
        </w:rPr>
        <w:t xml:space="preserve"> with interest, in part or in full, as the case may necessitate.  </w:t>
      </w:r>
    </w:p>
    <w:p w14:paraId="3007E6A7" w14:textId="25DB0FED" w:rsidR="00BC3448"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 xml:space="preserve">The amount of </w:t>
      </w:r>
      <w:r>
        <w:rPr>
          <w:rFonts w:ascii="Times New Roman" w:hAnsi="Times New Roman" w:cs="Times New Roman"/>
          <w:sz w:val="20"/>
          <w:szCs w:val="20"/>
        </w:rPr>
        <w:t xml:space="preserve">funding </w:t>
      </w:r>
      <w:r w:rsidRPr="00884EC3">
        <w:rPr>
          <w:rFonts w:ascii="Times New Roman" w:hAnsi="Times New Roman" w:cs="Times New Roman"/>
          <w:sz w:val="20"/>
          <w:szCs w:val="20"/>
        </w:rPr>
        <w:t>provided is at least equal to the market price and has been established by means of an open, transparent and non-discriminatory competitive procurement procedure. The RO shall need to demonstrate that it effectively negotiated the</w:t>
      </w:r>
      <w:r>
        <w:rPr>
          <w:rFonts w:ascii="Times New Roman" w:hAnsi="Times New Roman" w:cs="Times New Roman"/>
          <w:sz w:val="20"/>
          <w:szCs w:val="20"/>
        </w:rPr>
        <w:t xml:space="preserve"> funding</w:t>
      </w:r>
      <w:r w:rsidRPr="00884EC3">
        <w:rPr>
          <w:rFonts w:ascii="Times New Roman" w:hAnsi="Times New Roman" w:cs="Times New Roman"/>
          <w:sz w:val="20"/>
          <w:szCs w:val="20"/>
        </w:rPr>
        <w:t>, at arm’s length conditions, in order to obtain the maximum economic benefit at the moment when the contract is concluded, while considering its statutory objectives.  The third-party service provider will have no right on the IPR generated from the eventual R&amp;I project.</w:t>
      </w:r>
    </w:p>
    <w:p w14:paraId="60A909EB" w14:textId="77777777" w:rsidR="00A44EA5" w:rsidRPr="00A44EA5" w:rsidRDefault="00A44EA5" w:rsidP="00A44EA5">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The Applicant also undertakes to comply faithfully and immediately with any decision of the European Commission or a Maltese judicial authority declaring Article 107(1) TFEU to be applicable to this Agreement.</w:t>
      </w:r>
    </w:p>
    <w:p w14:paraId="7A53FE17" w14:textId="77777777" w:rsidR="00A44EA5" w:rsidRPr="00A44EA5" w:rsidRDefault="00A44EA5" w:rsidP="00A44EA5">
      <w:pPr>
        <w:jc w:val="both"/>
        <w:rPr>
          <w:rFonts w:ascii="Times New Roman" w:hAnsi="Times New Roman" w:cs="Times New Roman"/>
          <w:sz w:val="20"/>
          <w:szCs w:val="20"/>
          <w:lang w:val="en-US"/>
        </w:rPr>
      </w:pPr>
    </w:p>
    <w:p w14:paraId="0347A395" w14:textId="77777777" w:rsidR="00A44EA5" w:rsidRPr="00A44EA5" w:rsidRDefault="00A44EA5" w:rsidP="00A44EA5">
      <w:pPr>
        <w:jc w:val="both"/>
        <w:rPr>
          <w:rFonts w:ascii="Times New Roman" w:hAnsi="Times New Roman" w:cs="Times New Roman"/>
          <w:sz w:val="20"/>
          <w:szCs w:val="20"/>
          <w:lang w:val="en-US"/>
        </w:rPr>
      </w:pPr>
    </w:p>
    <w:p w14:paraId="6E5B3BE8" w14:textId="77777777" w:rsidR="00A44EA5" w:rsidRPr="00A44EA5" w:rsidRDefault="00A44EA5" w:rsidP="00A44EA5">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________________________________</w:t>
      </w:r>
    </w:p>
    <w:p w14:paraId="3D1616A4" w14:textId="77777777" w:rsidR="00A44EA5" w:rsidRPr="00A44EA5" w:rsidRDefault="00A44EA5" w:rsidP="00A44EA5">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Legal Representative</w:t>
      </w:r>
    </w:p>
    <w:p w14:paraId="4AB92D79" w14:textId="77777777" w:rsidR="00A44EA5" w:rsidRPr="00A44EA5" w:rsidRDefault="00A44EA5" w:rsidP="00A44EA5">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________________________________</w:t>
      </w:r>
    </w:p>
    <w:p w14:paraId="5FFEBAAE" w14:textId="059EF227" w:rsidR="00A44EA5" w:rsidRDefault="00A44EA5" w:rsidP="00BC3448">
      <w:pPr>
        <w:jc w:val="both"/>
        <w:rPr>
          <w:rFonts w:ascii="Times New Roman" w:hAnsi="Times New Roman" w:cs="Times New Roman"/>
          <w:sz w:val="20"/>
          <w:szCs w:val="20"/>
        </w:rPr>
      </w:pPr>
      <w:r w:rsidRPr="00A44EA5">
        <w:rPr>
          <w:rFonts w:ascii="Times New Roman" w:hAnsi="Times New Roman" w:cs="Times New Roman"/>
          <w:sz w:val="20"/>
          <w:szCs w:val="20"/>
          <w:lang w:val="en-US"/>
        </w:rPr>
        <w:t>Date</w:t>
      </w:r>
    </w:p>
    <w:p w14:paraId="7886EFC8" w14:textId="77777777" w:rsidR="00A44EA5" w:rsidRDefault="00A44EA5" w:rsidP="00BC3448">
      <w:pPr>
        <w:jc w:val="both"/>
        <w:rPr>
          <w:rFonts w:ascii="Times New Roman" w:hAnsi="Times New Roman" w:cs="Times New Roman"/>
          <w:sz w:val="20"/>
          <w:szCs w:val="20"/>
        </w:rPr>
      </w:pPr>
    </w:p>
    <w:p w14:paraId="0C39987C" w14:textId="021EFB38" w:rsidR="00A44EA5" w:rsidRDefault="00A44EA5">
      <w:pPr>
        <w:rPr>
          <w:rFonts w:ascii="Times New Roman" w:hAnsi="Times New Roman" w:cs="Times New Roman"/>
          <w:sz w:val="20"/>
          <w:szCs w:val="20"/>
        </w:rPr>
      </w:pPr>
      <w:r>
        <w:rPr>
          <w:rFonts w:ascii="Times New Roman" w:hAnsi="Times New Roman" w:cs="Times New Roman"/>
          <w:sz w:val="20"/>
          <w:szCs w:val="20"/>
        </w:rPr>
        <w:br w:type="page"/>
      </w:r>
    </w:p>
    <w:p w14:paraId="79983728" w14:textId="77777777" w:rsidR="00BC3448" w:rsidRDefault="00BC3448" w:rsidP="00BC3448">
      <w:pPr>
        <w:jc w:val="both"/>
        <w:rPr>
          <w:rFonts w:ascii="Times New Roman" w:hAnsi="Times New Roman" w:cs="Times New Roman"/>
          <w:sz w:val="20"/>
          <w:szCs w:val="20"/>
        </w:rPr>
      </w:pPr>
    </w:p>
    <w:p w14:paraId="2B4D5AD9" w14:textId="41D56E43" w:rsidR="00BC3448" w:rsidRDefault="00BC3448" w:rsidP="00BC3448">
      <w:pPr>
        <w:keepNext/>
        <w:spacing w:before="240" w:after="60"/>
        <w:jc w:val="center"/>
        <w:outlineLvl w:val="1"/>
        <w:rPr>
          <w:rFonts w:ascii="Times New Roman" w:eastAsia="Batang" w:hAnsi="Times New Roman"/>
          <w:b/>
          <w:iCs/>
          <w:smallCaps/>
          <w:lang w:eastAsia="ko-KR"/>
        </w:rPr>
      </w:pPr>
      <w:r w:rsidRPr="00BC3448">
        <w:rPr>
          <w:rFonts w:ascii="Times New Roman" w:eastAsia="Batang" w:hAnsi="Times New Roman"/>
          <w:b/>
          <w:iCs/>
          <w:smallCaps/>
          <w:lang w:eastAsia="ko-KR"/>
        </w:rPr>
        <w:t xml:space="preserve">Non-State Aid justifications for – public entities whose activity DOES NOT CONSTITUTE AN ECONOMIC ACTIVITY IN THE MEANING OF ARTICLE 107 OF THE TREATY ON THE FUNCTIONING OF THE EUROPEAN UNION (EXCLUDING PUBLIC RESEARCH AND KNOWLEDGE DISSEMINATION ORGANISATIONS) </w:t>
      </w:r>
    </w:p>
    <w:p w14:paraId="51A2F03A" w14:textId="77777777" w:rsidR="00BC3448" w:rsidRPr="005672AB" w:rsidRDefault="00BC3448" w:rsidP="00BC3448">
      <w:pPr>
        <w:keepNext/>
        <w:spacing w:before="240" w:after="60"/>
        <w:jc w:val="center"/>
        <w:outlineLvl w:val="1"/>
        <w:rPr>
          <w:rFonts w:ascii="Times New Roman" w:eastAsia="Batang" w:hAnsi="Times New Roman"/>
          <w:b/>
          <w:iCs/>
          <w:smallCaps/>
          <w:lang w:eastAsia="ko-KR"/>
        </w:rPr>
      </w:pPr>
      <w:r>
        <w:rPr>
          <w:rFonts w:ascii="Times New Roman" w:eastAsia="Batang" w:hAnsi="Times New Roman"/>
          <w:b/>
          <w:iCs/>
          <w:smallCaps/>
          <w:lang w:eastAsia="ko-KR"/>
        </w:rPr>
        <w:t>PARADISE Call</w:t>
      </w:r>
    </w:p>
    <w:p w14:paraId="72E6C027" w14:textId="77777777"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b/>
          <w:sz w:val="20"/>
          <w:szCs w:val="20"/>
        </w:rPr>
        <w:t>Eligibility</w:t>
      </w:r>
    </w:p>
    <w:p w14:paraId="2581A075" w14:textId="42B0C217" w:rsidR="00BC3448" w:rsidRPr="00884EC3" w:rsidRDefault="00BC3448" w:rsidP="00BC3448">
      <w:pPr>
        <w:rPr>
          <w:rFonts w:ascii="Times New Roman" w:hAnsi="Times New Roman" w:cs="Times New Roman"/>
          <w:sz w:val="20"/>
          <w:szCs w:val="20"/>
        </w:rPr>
      </w:pPr>
      <w:r w:rsidRPr="00884EC3">
        <w:rPr>
          <w:rFonts w:ascii="Times New Roman" w:hAnsi="Times New Roman" w:cs="Times New Roman"/>
          <w:sz w:val="20"/>
          <w:szCs w:val="20"/>
        </w:rPr>
        <w:t xml:space="preserve">Eligible </w:t>
      </w:r>
      <w:r>
        <w:rPr>
          <w:rFonts w:ascii="Times New Roman" w:hAnsi="Times New Roman" w:cs="Times New Roman"/>
          <w:sz w:val="20"/>
          <w:szCs w:val="20"/>
        </w:rPr>
        <w:t>public</w:t>
      </w:r>
      <w:r w:rsidRPr="00BC3448">
        <w:rPr>
          <w:rFonts w:ascii="Times New Roman" w:hAnsi="Times New Roman" w:cs="Times New Roman"/>
          <w:sz w:val="20"/>
          <w:szCs w:val="20"/>
        </w:rPr>
        <w:t xml:space="preserve"> </w:t>
      </w:r>
      <w:r w:rsidRPr="00884EC3">
        <w:rPr>
          <w:rFonts w:ascii="Times New Roman" w:hAnsi="Times New Roman" w:cs="Times New Roman"/>
          <w:sz w:val="20"/>
          <w:szCs w:val="20"/>
        </w:rPr>
        <w:t>entities are those that do not offer goods or services on a market for remuneration.</w:t>
      </w:r>
    </w:p>
    <w:p w14:paraId="78F55EF9" w14:textId="77777777" w:rsidR="00BC3448" w:rsidRPr="00884EC3" w:rsidRDefault="00BC3448" w:rsidP="00BC3448">
      <w:pPr>
        <w:rPr>
          <w:rFonts w:ascii="Times New Roman" w:hAnsi="Times New Roman" w:cs="Times New Roman"/>
          <w:sz w:val="20"/>
          <w:szCs w:val="20"/>
        </w:rPr>
      </w:pPr>
    </w:p>
    <w:p w14:paraId="784978AE" w14:textId="77777777" w:rsidR="00BC3448" w:rsidRPr="00884EC3" w:rsidRDefault="00BC3448" w:rsidP="00BC3448">
      <w:pPr>
        <w:rPr>
          <w:rFonts w:ascii="Times New Roman" w:hAnsi="Times New Roman" w:cs="Times New Roman"/>
          <w:b/>
          <w:sz w:val="20"/>
          <w:szCs w:val="20"/>
        </w:rPr>
      </w:pPr>
      <w:r w:rsidRPr="00884EC3">
        <w:rPr>
          <w:rFonts w:ascii="Times New Roman" w:hAnsi="Times New Roman" w:cs="Times New Roman"/>
          <w:b/>
          <w:sz w:val="20"/>
          <w:szCs w:val="20"/>
        </w:rPr>
        <w:t>Justifications</w:t>
      </w:r>
    </w:p>
    <w:p w14:paraId="35A79FBA" w14:textId="77777777"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Any secondary economic activities of the public entity must consume exactly the same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5F47F8C0" w14:textId="77777777" w:rsidR="00A44EA5" w:rsidRPr="00A44EA5" w:rsidRDefault="00A44EA5" w:rsidP="00A44EA5">
      <w:pPr>
        <w:ind w:right="141"/>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Project Application: _____________________________</w:t>
      </w:r>
    </w:p>
    <w:p w14:paraId="671ED9FB" w14:textId="77777777" w:rsidR="00A44EA5" w:rsidRPr="00A44EA5" w:rsidRDefault="00A44EA5" w:rsidP="00A44EA5">
      <w:pPr>
        <w:ind w:right="141"/>
        <w:jc w:val="both"/>
        <w:rPr>
          <w:rFonts w:ascii="Times New Roman" w:hAnsi="Times New Roman" w:cs="Times New Roman"/>
          <w:sz w:val="20"/>
          <w:szCs w:val="20"/>
          <w:lang w:val="en-US"/>
        </w:rPr>
      </w:pPr>
    </w:p>
    <w:p w14:paraId="259D522B" w14:textId="77777777" w:rsidR="00A44EA5" w:rsidRPr="00A44EA5" w:rsidRDefault="00A44EA5" w:rsidP="00A44EA5">
      <w:pPr>
        <w:ind w:right="141"/>
        <w:jc w:val="both"/>
        <w:rPr>
          <w:rFonts w:ascii="Times New Roman" w:hAnsi="Times New Roman" w:cs="Times New Roman"/>
          <w:sz w:val="20"/>
          <w:szCs w:val="20"/>
          <w:lang w:val="en-US"/>
        </w:rPr>
      </w:pPr>
    </w:p>
    <w:p w14:paraId="1F660940" w14:textId="77777777" w:rsidR="00A44EA5" w:rsidRPr="00A44EA5" w:rsidRDefault="00A44EA5" w:rsidP="00A44EA5">
      <w:pPr>
        <w:ind w:right="141"/>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The Applicant, __________________________________, declares the following:</w:t>
      </w:r>
    </w:p>
    <w:p w14:paraId="7AA7676D" w14:textId="77777777" w:rsidR="00BC3448" w:rsidRPr="00884EC3" w:rsidRDefault="00BC3448" w:rsidP="00BC3448">
      <w:pPr>
        <w:ind w:right="141"/>
        <w:jc w:val="both"/>
        <w:rPr>
          <w:rFonts w:ascii="Times New Roman" w:hAnsi="Times New Roman" w:cs="Times New Roman"/>
          <w:b/>
          <w:sz w:val="20"/>
          <w:szCs w:val="20"/>
        </w:rPr>
      </w:pPr>
    </w:p>
    <w:p w14:paraId="0337BE08" w14:textId="4A4AE516" w:rsidR="00BC3448" w:rsidRPr="00884EC3" w:rsidRDefault="00BC3448" w:rsidP="00BC3448">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Pr="00884EC3">
        <w:rPr>
          <w:rFonts w:ascii="Times New Roman" w:hAnsi="Times New Roman" w:cs="Times New Roman"/>
          <w:sz w:val="20"/>
          <w:szCs w:val="20"/>
        </w:rPr>
        <w:t xml:space="preserve"> being undertaken is claimed by the public entity not to constitute an economic activity within the meaning of Article 107 of the Treaty of the Functioning of the European Union. </w:t>
      </w:r>
    </w:p>
    <w:p w14:paraId="0C81EF15" w14:textId="36435B2E" w:rsidR="00BC3448" w:rsidRPr="00884EC3" w:rsidRDefault="00BC3448" w:rsidP="00BC3448">
      <w:pPr>
        <w:adjustRightInd w:val="0"/>
        <w:jc w:val="both"/>
        <w:rPr>
          <w:rFonts w:ascii="Times New Roman" w:hAnsi="Times New Roman" w:cs="Times New Roman"/>
          <w:sz w:val="20"/>
          <w:szCs w:val="20"/>
        </w:rPr>
      </w:pPr>
      <w:r w:rsidRPr="00884EC3">
        <w:rPr>
          <w:rFonts w:ascii="Times New Roman" w:hAnsi="Times New Roman" w:cs="Times New Roman"/>
          <w:sz w:val="20"/>
          <w:szCs w:val="20"/>
        </w:rPr>
        <w:t xml:space="preserve">The public entity will </w:t>
      </w:r>
      <w:r w:rsidR="00A44EA5">
        <w:rPr>
          <w:rFonts w:ascii="Times New Roman" w:hAnsi="Times New Roman" w:cs="Times New Roman"/>
          <w:sz w:val="20"/>
          <w:szCs w:val="20"/>
        </w:rPr>
        <w:t>be obliged</w:t>
      </w:r>
      <w:r w:rsidR="00A44EA5" w:rsidRPr="00884EC3">
        <w:rPr>
          <w:rFonts w:ascii="Times New Roman" w:hAnsi="Times New Roman" w:cs="Times New Roman"/>
          <w:sz w:val="20"/>
          <w:szCs w:val="20"/>
        </w:rPr>
        <w:t xml:space="preserve"> </w:t>
      </w:r>
      <w:r w:rsidRPr="00884EC3">
        <w:rPr>
          <w:rFonts w:ascii="Times New Roman" w:hAnsi="Times New Roman" w:cs="Times New Roman"/>
          <w:sz w:val="20"/>
          <w:szCs w:val="20"/>
        </w:rPr>
        <w:t>to:</w:t>
      </w:r>
    </w:p>
    <w:p w14:paraId="6FBDB89E" w14:textId="77777777" w:rsidR="00BC3448" w:rsidRPr="00884EC3" w:rsidRDefault="00BC3448" w:rsidP="00BC3448">
      <w:pPr>
        <w:ind w:left="993" w:hanging="426"/>
        <w:rPr>
          <w:rFonts w:ascii="Times New Roman" w:hAnsi="Times New Roman" w:cs="Times New Roman"/>
          <w:sz w:val="20"/>
          <w:szCs w:val="20"/>
        </w:rPr>
      </w:pPr>
      <w:r w:rsidRPr="00884EC3">
        <w:rPr>
          <w:rFonts w:ascii="Times New Roman" w:hAnsi="Times New Roman" w:cs="Times New Roman"/>
          <w:sz w:val="20"/>
          <w:szCs w:val="20"/>
        </w:rPr>
        <w:t>a)</w:t>
      </w:r>
      <w:r w:rsidRPr="00884EC3">
        <w:rPr>
          <w:rFonts w:ascii="Times New Roman" w:hAnsi="Times New Roman" w:cs="Times New Roman"/>
          <w:sz w:val="20"/>
          <w:szCs w:val="20"/>
        </w:rPr>
        <w:tab/>
        <w:t>publicise widely the results of the research;</w:t>
      </w:r>
    </w:p>
    <w:p w14:paraId="5C607AE0" w14:textId="77777777" w:rsidR="00BC3448" w:rsidRPr="00884EC3" w:rsidRDefault="00BC3448" w:rsidP="00BC3448">
      <w:pPr>
        <w:ind w:left="993" w:hanging="426"/>
        <w:rPr>
          <w:rFonts w:ascii="Times New Roman" w:hAnsi="Times New Roman" w:cs="Times New Roman"/>
          <w:sz w:val="20"/>
          <w:szCs w:val="20"/>
        </w:rPr>
      </w:pPr>
      <w:r w:rsidRPr="00884EC3">
        <w:rPr>
          <w:rFonts w:ascii="Times New Roman" w:hAnsi="Times New Roman" w:cs="Times New Roman"/>
          <w:sz w:val="20"/>
          <w:szCs w:val="20"/>
        </w:rPr>
        <w:t>b)</w:t>
      </w:r>
      <w:r w:rsidRPr="00884EC3">
        <w:rPr>
          <w:rFonts w:ascii="Times New Roman" w:hAnsi="Times New Roman" w:cs="Times New Roman"/>
          <w:sz w:val="20"/>
          <w:szCs w:val="20"/>
        </w:rPr>
        <w:tab/>
        <w:t>license on non-discriminatory terms any Intellectual Property Rights (IPRs) resulting from the research at the market price for the said IPR;</w:t>
      </w:r>
    </w:p>
    <w:p w14:paraId="7C56CD3F" w14:textId="77777777" w:rsidR="00BC3448" w:rsidRPr="00884EC3" w:rsidRDefault="00BC3448" w:rsidP="00BC3448">
      <w:pPr>
        <w:ind w:left="993" w:hanging="426"/>
        <w:rPr>
          <w:rFonts w:ascii="Times New Roman" w:hAnsi="Times New Roman" w:cs="Times New Roman"/>
          <w:sz w:val="20"/>
          <w:szCs w:val="20"/>
        </w:rPr>
      </w:pPr>
      <w:r w:rsidRPr="00884EC3">
        <w:rPr>
          <w:rFonts w:ascii="Times New Roman" w:hAnsi="Times New Roman" w:cs="Times New Roman"/>
          <w:sz w:val="20"/>
          <w:szCs w:val="20"/>
        </w:rPr>
        <w:t>c)</w:t>
      </w:r>
      <w:r w:rsidRPr="00884EC3">
        <w:rPr>
          <w:rFonts w:ascii="Times New Roman" w:hAnsi="Times New Roman" w:cs="Times New Roman"/>
          <w:sz w:val="20"/>
          <w:szCs w:val="20"/>
        </w:rPr>
        <w:tab/>
        <w:t>any income from the licensing of IPR shall be reinvested in the primary educational and research activities of the Beneficiary;</w:t>
      </w:r>
    </w:p>
    <w:p w14:paraId="290CDCFA" w14:textId="77777777" w:rsidR="00BC3448" w:rsidRPr="00884EC3" w:rsidRDefault="00BC3448" w:rsidP="00BC3448">
      <w:pPr>
        <w:ind w:left="993" w:hanging="426"/>
        <w:rPr>
          <w:rFonts w:ascii="Times New Roman" w:hAnsi="Times New Roman" w:cs="Times New Roman"/>
          <w:sz w:val="20"/>
          <w:szCs w:val="20"/>
        </w:rPr>
      </w:pPr>
      <w:r w:rsidRPr="00884EC3">
        <w:rPr>
          <w:rFonts w:ascii="Times New Roman" w:hAnsi="Times New Roman" w:cs="Times New Roman"/>
          <w:sz w:val="20"/>
          <w:szCs w:val="20"/>
        </w:rPr>
        <w:t>d)</w:t>
      </w:r>
      <w:r w:rsidRPr="00884EC3">
        <w:rPr>
          <w:rFonts w:ascii="Times New Roman" w:hAnsi="Times New Roman" w:cs="Times New Roman"/>
          <w:sz w:val="20"/>
          <w:szCs w:val="20"/>
        </w:rPr>
        <w:tab/>
        <w:t>ensure that no funds provided by this Agreement cross-subsidises any economic activities that may be carried out by the Beneficiary, other partners in the project, or third parties.</w:t>
      </w:r>
    </w:p>
    <w:p w14:paraId="6D863CA8" w14:textId="77777777" w:rsidR="00BC3448" w:rsidRPr="00884EC3" w:rsidRDefault="00BC3448" w:rsidP="00BC3448">
      <w:pPr>
        <w:jc w:val="both"/>
        <w:rPr>
          <w:rFonts w:ascii="Times New Roman" w:hAnsi="Times New Roman" w:cs="Times New Roman"/>
          <w:sz w:val="20"/>
          <w:szCs w:val="20"/>
        </w:rPr>
      </w:pPr>
    </w:p>
    <w:p w14:paraId="51D1F111" w14:textId="742E4582"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 xml:space="preserve">The public entity understands that, should the eventual R&amp;I activities be found to be in breach of the conditions for being exempt from State Aid rules, the Managing Authority will enforce the retrieval of funds provided under the </w:t>
      </w:r>
      <w:r>
        <w:rPr>
          <w:rFonts w:ascii="Times New Roman" w:hAnsi="Times New Roman" w:cs="Times New Roman"/>
          <w:sz w:val="20"/>
          <w:szCs w:val="20"/>
        </w:rPr>
        <w:t>PARADISE Call</w:t>
      </w:r>
      <w:r w:rsidRPr="00884EC3">
        <w:rPr>
          <w:rFonts w:ascii="Times New Roman" w:hAnsi="Times New Roman" w:cs="Times New Roman"/>
          <w:sz w:val="20"/>
          <w:szCs w:val="20"/>
        </w:rPr>
        <w:t xml:space="preserve"> with interest, in part or in full, as the case may necessitate.  </w:t>
      </w:r>
    </w:p>
    <w:p w14:paraId="448132A4" w14:textId="77777777" w:rsidR="00BC3448" w:rsidRPr="00884EC3" w:rsidRDefault="00BC3448" w:rsidP="00BC3448">
      <w:pPr>
        <w:rPr>
          <w:rFonts w:ascii="Times New Roman" w:hAnsi="Times New Roman" w:cs="Times New Roman"/>
          <w:b/>
          <w:sz w:val="20"/>
          <w:szCs w:val="20"/>
        </w:rPr>
      </w:pPr>
    </w:p>
    <w:p w14:paraId="2B80A79A" w14:textId="77777777" w:rsidR="00BC3448" w:rsidRPr="00884EC3" w:rsidRDefault="00BC3448" w:rsidP="00BC3448">
      <w:pPr>
        <w:jc w:val="both"/>
        <w:rPr>
          <w:rFonts w:ascii="Times New Roman" w:hAnsi="Times New Roman" w:cs="Times New Roman"/>
          <w:sz w:val="20"/>
          <w:szCs w:val="20"/>
        </w:rPr>
      </w:pPr>
      <w:r w:rsidRPr="00884EC3">
        <w:rPr>
          <w:rFonts w:ascii="Times New Roman" w:hAnsi="Times New Roman" w:cs="Times New Roman"/>
          <w:sz w:val="20"/>
          <w:szCs w:val="20"/>
        </w:rPr>
        <w:t xml:space="preserve">The amount of </w:t>
      </w:r>
      <w:r>
        <w:rPr>
          <w:rFonts w:ascii="Times New Roman" w:hAnsi="Times New Roman" w:cs="Times New Roman"/>
          <w:sz w:val="20"/>
          <w:szCs w:val="20"/>
        </w:rPr>
        <w:t xml:space="preserve">funding </w:t>
      </w:r>
      <w:r w:rsidRPr="00884EC3">
        <w:rPr>
          <w:rFonts w:ascii="Times New Roman" w:hAnsi="Times New Roman" w:cs="Times New Roman"/>
          <w:sz w:val="20"/>
          <w:szCs w:val="20"/>
        </w:rPr>
        <w:t>provided is at least equal to the market price and has been established by means of an open, transparent and non-discriminatory competitive procurement procedure. The public entity shall need to demonstrate that it effectively negotiated the</w:t>
      </w:r>
      <w:r>
        <w:rPr>
          <w:rFonts w:ascii="Times New Roman" w:hAnsi="Times New Roman" w:cs="Times New Roman"/>
          <w:sz w:val="20"/>
          <w:szCs w:val="20"/>
        </w:rPr>
        <w:t xml:space="preserve"> funding</w:t>
      </w:r>
      <w:r w:rsidRPr="00884EC3">
        <w:rPr>
          <w:rFonts w:ascii="Times New Roman" w:hAnsi="Times New Roman" w:cs="Times New Roman"/>
          <w:sz w:val="20"/>
          <w:szCs w:val="20"/>
        </w:rPr>
        <w:t>, at arm’s length conditions, in order to obtain the maximum economic benefit at the moment when the contract is concluded, while considering its statutory objectives.  The third-party service provider will have no right on the IPR generated from the eventual R&amp;I project.</w:t>
      </w:r>
    </w:p>
    <w:p w14:paraId="44C74275" w14:textId="1C9FFEE4" w:rsidR="00BC3448" w:rsidRDefault="00007E8B" w:rsidP="00BC3448">
      <w:pPr>
        <w:jc w:val="both"/>
        <w:rPr>
          <w:rFonts w:ascii="Times New Roman" w:hAnsi="Times New Roman" w:cs="Times New Roman"/>
          <w:sz w:val="20"/>
          <w:szCs w:val="20"/>
        </w:rPr>
      </w:pPr>
      <w:r w:rsidRPr="00884EC3">
        <w:rPr>
          <w:rFonts w:ascii="Times New Roman" w:hAnsi="Times New Roman" w:cs="Times New Roman"/>
          <w:sz w:val="20"/>
          <w:szCs w:val="20"/>
        </w:rPr>
        <w:t>The public entity also undertakes to comply faithfully and immediately with any decision of the European Commission or a Maltese judicial authority declaring Article 107(1) TFEU to be applicable to this Agreement.</w:t>
      </w:r>
    </w:p>
    <w:p w14:paraId="0F08BE88" w14:textId="77777777" w:rsidR="00007E8B" w:rsidRPr="00A44EA5" w:rsidRDefault="00007E8B" w:rsidP="00007E8B">
      <w:pPr>
        <w:jc w:val="both"/>
        <w:rPr>
          <w:rFonts w:ascii="Times New Roman" w:hAnsi="Times New Roman" w:cs="Times New Roman"/>
          <w:sz w:val="20"/>
          <w:szCs w:val="20"/>
          <w:lang w:val="en-US"/>
        </w:rPr>
      </w:pPr>
    </w:p>
    <w:p w14:paraId="5D821736" w14:textId="77777777" w:rsidR="00007E8B" w:rsidRPr="00A44EA5" w:rsidRDefault="00007E8B" w:rsidP="00007E8B">
      <w:pPr>
        <w:jc w:val="both"/>
        <w:rPr>
          <w:rFonts w:ascii="Times New Roman" w:hAnsi="Times New Roman" w:cs="Times New Roman"/>
          <w:sz w:val="20"/>
          <w:szCs w:val="20"/>
          <w:lang w:val="en-US"/>
        </w:rPr>
      </w:pPr>
    </w:p>
    <w:p w14:paraId="62C1481C" w14:textId="77777777" w:rsidR="00007E8B" w:rsidRPr="00A44EA5" w:rsidRDefault="00007E8B" w:rsidP="00007E8B">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________________________________</w:t>
      </w:r>
    </w:p>
    <w:p w14:paraId="2BF83DAE" w14:textId="77777777" w:rsidR="00007E8B" w:rsidRPr="00A44EA5" w:rsidRDefault="00007E8B" w:rsidP="00007E8B">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Legal Representative</w:t>
      </w:r>
    </w:p>
    <w:p w14:paraId="6D62F814" w14:textId="77777777" w:rsidR="00007E8B" w:rsidRPr="00A44EA5" w:rsidRDefault="00007E8B" w:rsidP="00007E8B">
      <w:pPr>
        <w:jc w:val="both"/>
        <w:rPr>
          <w:rFonts w:ascii="Times New Roman" w:hAnsi="Times New Roman" w:cs="Times New Roman"/>
          <w:sz w:val="20"/>
          <w:szCs w:val="20"/>
          <w:lang w:val="en-US"/>
        </w:rPr>
      </w:pPr>
      <w:r w:rsidRPr="00A44EA5">
        <w:rPr>
          <w:rFonts w:ascii="Times New Roman" w:hAnsi="Times New Roman" w:cs="Times New Roman"/>
          <w:sz w:val="20"/>
          <w:szCs w:val="20"/>
          <w:lang w:val="en-US"/>
        </w:rPr>
        <w:t>________________________________</w:t>
      </w:r>
    </w:p>
    <w:p w14:paraId="08D3F621" w14:textId="77777777" w:rsidR="00007E8B" w:rsidRDefault="00007E8B" w:rsidP="00007E8B">
      <w:pPr>
        <w:jc w:val="both"/>
        <w:rPr>
          <w:rFonts w:ascii="Times New Roman" w:hAnsi="Times New Roman" w:cs="Times New Roman"/>
          <w:sz w:val="20"/>
          <w:szCs w:val="20"/>
        </w:rPr>
      </w:pPr>
      <w:r w:rsidRPr="00A44EA5">
        <w:rPr>
          <w:rFonts w:ascii="Times New Roman" w:hAnsi="Times New Roman" w:cs="Times New Roman"/>
          <w:sz w:val="20"/>
          <w:szCs w:val="20"/>
          <w:lang w:val="en-US"/>
        </w:rPr>
        <w:t>Date</w:t>
      </w:r>
    </w:p>
    <w:p w14:paraId="41024473" w14:textId="77777777" w:rsidR="00007E8B" w:rsidRPr="00884EC3" w:rsidRDefault="00007E8B" w:rsidP="00BC3448">
      <w:pPr>
        <w:jc w:val="both"/>
        <w:rPr>
          <w:rFonts w:ascii="Times New Roman" w:hAnsi="Times New Roman" w:cs="Times New Roman"/>
          <w:sz w:val="20"/>
          <w:szCs w:val="20"/>
        </w:rPr>
      </w:pPr>
    </w:p>
    <w:sectPr w:rsidR="00007E8B" w:rsidRPr="00884EC3" w:rsidSect="00143EFE">
      <w:headerReference w:type="default" r:id="rId12"/>
      <w:footerReference w:type="default" r:id="rId13"/>
      <w:pgSz w:w="12240" w:h="15840"/>
      <w:pgMar w:top="187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F478" w14:textId="77777777" w:rsidR="0073678A" w:rsidRDefault="0073678A" w:rsidP="000C3FBF">
      <w:pPr>
        <w:spacing w:after="0" w:line="240" w:lineRule="auto"/>
      </w:pPr>
      <w:r>
        <w:separator/>
      </w:r>
    </w:p>
  </w:endnote>
  <w:endnote w:type="continuationSeparator" w:id="0">
    <w:p w14:paraId="409C8209" w14:textId="77777777" w:rsidR="0073678A" w:rsidRDefault="0073678A" w:rsidP="000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38D4" w14:textId="0C3411B2" w:rsidR="00FC05C1" w:rsidRDefault="00FC05C1">
    <w:pPr>
      <w:pStyle w:val="Footer"/>
      <w:jc w:val="center"/>
    </w:pPr>
    <w:r>
      <w:t xml:space="preserve">Page </w:t>
    </w:r>
    <w:sdt>
      <w:sdtPr>
        <w:id w:val="20194268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sdtContent>
    </w:sdt>
  </w:p>
  <w:p w14:paraId="0D14CF06" w14:textId="77777777" w:rsidR="00FC05C1" w:rsidRDefault="00FC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9DC3" w14:textId="77777777" w:rsidR="0073678A" w:rsidRDefault="0073678A" w:rsidP="000C3FBF">
      <w:pPr>
        <w:spacing w:after="0" w:line="240" w:lineRule="auto"/>
      </w:pPr>
      <w:r>
        <w:separator/>
      </w:r>
    </w:p>
  </w:footnote>
  <w:footnote w:type="continuationSeparator" w:id="0">
    <w:p w14:paraId="180321D6" w14:textId="77777777" w:rsidR="0073678A" w:rsidRDefault="0073678A" w:rsidP="000C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33A0" w14:textId="5E20E3B2" w:rsidR="00657A68" w:rsidRDefault="00772ECD">
    <w:pPr>
      <w:pStyle w:val="Header"/>
    </w:pPr>
    <w:r>
      <w:rPr>
        <w:noProof/>
        <w:sz w:val="24"/>
        <w:szCs w:val="24"/>
        <w:lang w:val="en-US"/>
      </w:rPr>
      <w:drawing>
        <wp:anchor distT="0" distB="0" distL="114300" distR="114300" simplePos="0" relativeHeight="251665408" behindDoc="1" locked="0" layoutInCell="1" allowOverlap="1" wp14:anchorId="3C151B9E" wp14:editId="1F4628A6">
          <wp:simplePos x="0" y="0"/>
          <wp:positionH relativeFrom="margin">
            <wp:align>right</wp:align>
          </wp:positionH>
          <wp:positionV relativeFrom="topMargin">
            <wp:posOffset>306165</wp:posOffset>
          </wp:positionV>
          <wp:extent cx="601345" cy="601345"/>
          <wp:effectExtent l="0" t="0" r="8255" b="8255"/>
          <wp:wrapNone/>
          <wp:docPr id="13" name="Picture 1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DI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3360" behindDoc="0" locked="0" layoutInCell="1" allowOverlap="1" wp14:anchorId="6B5063C8" wp14:editId="23499D8F">
          <wp:simplePos x="0" y="0"/>
          <wp:positionH relativeFrom="margin">
            <wp:posOffset>0</wp:posOffset>
          </wp:positionH>
          <wp:positionV relativeFrom="paragraph">
            <wp:posOffset>-149860</wp:posOffset>
          </wp:positionV>
          <wp:extent cx="2070202" cy="61016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2">
                    <a:extLst>
                      <a:ext uri="{28A0092B-C50C-407E-A947-70E740481C1C}">
                        <a14:useLocalDpi xmlns:a14="http://schemas.microsoft.com/office/drawing/2010/main" val="0"/>
                      </a:ext>
                    </a:extLst>
                  </a:blip>
                  <a:srcRect l="2969" t="30708" r="3326" b="30182"/>
                  <a:stretch>
                    <a:fillRect/>
                  </a:stretch>
                </pic:blipFill>
                <pic:spPr bwMode="auto">
                  <a:xfrm>
                    <a:off x="0" y="0"/>
                    <a:ext cx="2070202" cy="61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47104D2"/>
    <w:multiLevelType w:val="hybridMultilevel"/>
    <w:tmpl w:val="3F1E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749BE"/>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F2E32"/>
    <w:multiLevelType w:val="hybridMultilevel"/>
    <w:tmpl w:val="8424E4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84FA9"/>
    <w:multiLevelType w:val="hybridMultilevel"/>
    <w:tmpl w:val="81A2BD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693DCC"/>
    <w:multiLevelType w:val="hybridMultilevel"/>
    <w:tmpl w:val="04EAC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961639"/>
    <w:multiLevelType w:val="hybridMultilevel"/>
    <w:tmpl w:val="5740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4067B"/>
    <w:multiLevelType w:val="hybridMultilevel"/>
    <w:tmpl w:val="F17485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D482A"/>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054CFD"/>
    <w:multiLevelType w:val="multilevel"/>
    <w:tmpl w:val="1FD6B2F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9005D5"/>
    <w:multiLevelType w:val="hybridMultilevel"/>
    <w:tmpl w:val="EBF821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44202F9E"/>
    <w:multiLevelType w:val="multilevel"/>
    <w:tmpl w:val="99061EDA"/>
    <w:lvl w:ilvl="0">
      <w:start w:val="8"/>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9676E2"/>
    <w:multiLevelType w:val="multilevel"/>
    <w:tmpl w:val="2C76F342"/>
    <w:lvl w:ilvl="0">
      <w:start w:val="9"/>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755DB3"/>
    <w:multiLevelType w:val="hybridMultilevel"/>
    <w:tmpl w:val="65643A8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58E6325E"/>
    <w:multiLevelType w:val="hybridMultilevel"/>
    <w:tmpl w:val="19B0F794"/>
    <w:lvl w:ilvl="0" w:tplc="04090001">
      <w:start w:val="1"/>
      <w:numFmt w:val="bullet"/>
      <w:lvlText w:val=""/>
      <w:lvlJc w:val="left"/>
      <w:pPr>
        <w:ind w:left="2232" w:hanging="360"/>
      </w:pPr>
      <w:rPr>
        <w:rFonts w:ascii="Symbol" w:hAnsi="Symbol" w:hint="default"/>
      </w:rPr>
    </w:lvl>
    <w:lvl w:ilvl="1" w:tplc="976EF2AC">
      <w:numFmt w:val="bullet"/>
      <w:lvlText w:val="-"/>
      <w:lvlJc w:val="left"/>
      <w:pPr>
        <w:ind w:left="2952" w:hanging="360"/>
      </w:pPr>
      <w:rPr>
        <w:rFonts w:ascii="Calibri" w:eastAsiaTheme="minorHAnsi" w:hAnsi="Calibri" w:cs="Calibri"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 w15:restartNumberingAfterBreak="0">
    <w:nsid w:val="59C2238D"/>
    <w:multiLevelType w:val="hybridMultilevel"/>
    <w:tmpl w:val="556A5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AE58ED"/>
    <w:multiLevelType w:val="hybridMultilevel"/>
    <w:tmpl w:val="B6F2E388"/>
    <w:lvl w:ilvl="0" w:tplc="27F4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57BEE"/>
    <w:multiLevelType w:val="hybridMultilevel"/>
    <w:tmpl w:val="4E0A4378"/>
    <w:lvl w:ilvl="0" w:tplc="27F43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EE1DFA"/>
    <w:multiLevelType w:val="hybridMultilevel"/>
    <w:tmpl w:val="598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A5AA4"/>
    <w:multiLevelType w:val="hybridMultilevel"/>
    <w:tmpl w:val="21C87D36"/>
    <w:lvl w:ilvl="0" w:tplc="041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0C46FCA"/>
    <w:multiLevelType w:val="hybridMultilevel"/>
    <w:tmpl w:val="DA0A30F2"/>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E91FB5"/>
    <w:multiLevelType w:val="hybridMultilevel"/>
    <w:tmpl w:val="43544D24"/>
    <w:lvl w:ilvl="0" w:tplc="04090001">
      <w:start w:val="1"/>
      <w:numFmt w:val="bullet"/>
      <w:lvlText w:val=""/>
      <w:lvlJc w:val="left"/>
      <w:pPr>
        <w:ind w:left="2952"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777CA8"/>
    <w:multiLevelType w:val="hybridMultilevel"/>
    <w:tmpl w:val="FF3A1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6E7AC5"/>
    <w:multiLevelType w:val="hybridMultilevel"/>
    <w:tmpl w:val="73D4E56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BD59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27"/>
  </w:num>
  <w:num w:numId="2">
    <w:abstractNumId w:val="21"/>
  </w:num>
  <w:num w:numId="3">
    <w:abstractNumId w:val="22"/>
  </w:num>
  <w:num w:numId="4">
    <w:abstractNumId w:val="3"/>
  </w:num>
  <w:num w:numId="5">
    <w:abstractNumId w:val="19"/>
  </w:num>
  <w:num w:numId="6">
    <w:abstractNumId w:val="11"/>
  </w:num>
  <w:num w:numId="7">
    <w:abstractNumId w:val="17"/>
  </w:num>
  <w:num w:numId="8">
    <w:abstractNumId w:val="1"/>
  </w:num>
  <w:num w:numId="9">
    <w:abstractNumId w:val="16"/>
  </w:num>
  <w:num w:numId="10">
    <w:abstractNumId w:val="5"/>
  </w:num>
  <w:num w:numId="11">
    <w:abstractNumId w:val="24"/>
  </w:num>
  <w:num w:numId="12">
    <w:abstractNumId w:val="23"/>
  </w:num>
  <w:num w:numId="13">
    <w:abstractNumId w:val="6"/>
  </w:num>
  <w:num w:numId="14">
    <w:abstractNumId w:val="7"/>
  </w:num>
  <w:num w:numId="15">
    <w:abstractNumId w:val="10"/>
  </w:num>
  <w:num w:numId="16">
    <w:abstractNumId w:val="9"/>
  </w:num>
  <w:num w:numId="17">
    <w:abstractNumId w:val="4"/>
  </w:num>
  <w:num w:numId="18">
    <w:abstractNumId w:val="20"/>
  </w:num>
  <w:num w:numId="19">
    <w:abstractNumId w:val="13"/>
  </w:num>
  <w:num w:numId="20">
    <w:abstractNumId w:val="12"/>
  </w:num>
  <w:num w:numId="21">
    <w:abstractNumId w:val="14"/>
  </w:num>
  <w:num w:numId="22">
    <w:abstractNumId w:val="25"/>
  </w:num>
  <w:num w:numId="23">
    <w:abstractNumId w:val="8"/>
  </w:num>
  <w:num w:numId="24">
    <w:abstractNumId w:val="26"/>
  </w:num>
  <w:num w:numId="25">
    <w:abstractNumId w:val="0"/>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DE"/>
    <w:rsid w:val="00007E8B"/>
    <w:rsid w:val="00013A6A"/>
    <w:rsid w:val="00016534"/>
    <w:rsid w:val="00026B27"/>
    <w:rsid w:val="00035516"/>
    <w:rsid w:val="00044CB1"/>
    <w:rsid w:val="00051826"/>
    <w:rsid w:val="00057C45"/>
    <w:rsid w:val="000646ED"/>
    <w:rsid w:val="000701EA"/>
    <w:rsid w:val="000725CF"/>
    <w:rsid w:val="000B1A6C"/>
    <w:rsid w:val="000C3FBF"/>
    <w:rsid w:val="000D2033"/>
    <w:rsid w:val="000E5D6C"/>
    <w:rsid w:val="000F73EE"/>
    <w:rsid w:val="00136D44"/>
    <w:rsid w:val="00143EFE"/>
    <w:rsid w:val="00152105"/>
    <w:rsid w:val="001702AD"/>
    <w:rsid w:val="001B582D"/>
    <w:rsid w:val="001F33BC"/>
    <w:rsid w:val="001F68D2"/>
    <w:rsid w:val="00215B4F"/>
    <w:rsid w:val="00222C7D"/>
    <w:rsid w:val="00224135"/>
    <w:rsid w:val="00224D66"/>
    <w:rsid w:val="00232B87"/>
    <w:rsid w:val="0023759A"/>
    <w:rsid w:val="00240E7E"/>
    <w:rsid w:val="00262526"/>
    <w:rsid w:val="002F3472"/>
    <w:rsid w:val="00301BE6"/>
    <w:rsid w:val="0033273D"/>
    <w:rsid w:val="00336FC3"/>
    <w:rsid w:val="003438D6"/>
    <w:rsid w:val="003444AF"/>
    <w:rsid w:val="00363779"/>
    <w:rsid w:val="003831FF"/>
    <w:rsid w:val="00394D0A"/>
    <w:rsid w:val="003A0D7A"/>
    <w:rsid w:val="003A6405"/>
    <w:rsid w:val="003B6A7F"/>
    <w:rsid w:val="003B78B8"/>
    <w:rsid w:val="003C3F97"/>
    <w:rsid w:val="003D4AF2"/>
    <w:rsid w:val="003E6A71"/>
    <w:rsid w:val="004043BE"/>
    <w:rsid w:val="004425CD"/>
    <w:rsid w:val="00444B3F"/>
    <w:rsid w:val="00463D2D"/>
    <w:rsid w:val="004668B6"/>
    <w:rsid w:val="0047565D"/>
    <w:rsid w:val="00477552"/>
    <w:rsid w:val="00490C8B"/>
    <w:rsid w:val="00510060"/>
    <w:rsid w:val="00511AA0"/>
    <w:rsid w:val="00543142"/>
    <w:rsid w:val="00570E0E"/>
    <w:rsid w:val="005A2C79"/>
    <w:rsid w:val="005E3DD3"/>
    <w:rsid w:val="005E69BB"/>
    <w:rsid w:val="005F0519"/>
    <w:rsid w:val="005F1672"/>
    <w:rsid w:val="005F5772"/>
    <w:rsid w:val="0060176E"/>
    <w:rsid w:val="00605556"/>
    <w:rsid w:val="00606446"/>
    <w:rsid w:val="00613B65"/>
    <w:rsid w:val="00622C33"/>
    <w:rsid w:val="006259D8"/>
    <w:rsid w:val="00631660"/>
    <w:rsid w:val="00633E03"/>
    <w:rsid w:val="00637D83"/>
    <w:rsid w:val="006402D2"/>
    <w:rsid w:val="006465A1"/>
    <w:rsid w:val="00654DBD"/>
    <w:rsid w:val="00657A68"/>
    <w:rsid w:val="006A4081"/>
    <w:rsid w:val="006D761A"/>
    <w:rsid w:val="0073678A"/>
    <w:rsid w:val="00766C46"/>
    <w:rsid w:val="00772ECD"/>
    <w:rsid w:val="007870C3"/>
    <w:rsid w:val="007939BE"/>
    <w:rsid w:val="00796563"/>
    <w:rsid w:val="007A5B44"/>
    <w:rsid w:val="007C1898"/>
    <w:rsid w:val="007D39FA"/>
    <w:rsid w:val="007E7ADB"/>
    <w:rsid w:val="007F1903"/>
    <w:rsid w:val="007F3661"/>
    <w:rsid w:val="00823571"/>
    <w:rsid w:val="008259D5"/>
    <w:rsid w:val="00854AE5"/>
    <w:rsid w:val="00870D5E"/>
    <w:rsid w:val="00871384"/>
    <w:rsid w:val="00876B6F"/>
    <w:rsid w:val="00896D10"/>
    <w:rsid w:val="008A4A0F"/>
    <w:rsid w:val="008C085C"/>
    <w:rsid w:val="008D0AD1"/>
    <w:rsid w:val="008D129B"/>
    <w:rsid w:val="008D7AF2"/>
    <w:rsid w:val="008F7CC8"/>
    <w:rsid w:val="00914BF8"/>
    <w:rsid w:val="009158B7"/>
    <w:rsid w:val="009B7167"/>
    <w:rsid w:val="009E3206"/>
    <w:rsid w:val="00A00C2E"/>
    <w:rsid w:val="00A046EE"/>
    <w:rsid w:val="00A24E08"/>
    <w:rsid w:val="00A44EA5"/>
    <w:rsid w:val="00A505B0"/>
    <w:rsid w:val="00A75B46"/>
    <w:rsid w:val="00A94F56"/>
    <w:rsid w:val="00AB1026"/>
    <w:rsid w:val="00AE6A35"/>
    <w:rsid w:val="00B05D92"/>
    <w:rsid w:val="00B067C2"/>
    <w:rsid w:val="00B163FF"/>
    <w:rsid w:val="00B613F1"/>
    <w:rsid w:val="00B71392"/>
    <w:rsid w:val="00B84EE8"/>
    <w:rsid w:val="00BA7302"/>
    <w:rsid w:val="00BB3035"/>
    <w:rsid w:val="00BB3796"/>
    <w:rsid w:val="00BC3448"/>
    <w:rsid w:val="00BE359D"/>
    <w:rsid w:val="00BF7CA1"/>
    <w:rsid w:val="00C11B2A"/>
    <w:rsid w:val="00C17611"/>
    <w:rsid w:val="00C24AFB"/>
    <w:rsid w:val="00C34A08"/>
    <w:rsid w:val="00C448C2"/>
    <w:rsid w:val="00C560F2"/>
    <w:rsid w:val="00C64DE8"/>
    <w:rsid w:val="00C77442"/>
    <w:rsid w:val="00C940EF"/>
    <w:rsid w:val="00CA03D8"/>
    <w:rsid w:val="00CE039C"/>
    <w:rsid w:val="00D04855"/>
    <w:rsid w:val="00D06C9A"/>
    <w:rsid w:val="00D4065E"/>
    <w:rsid w:val="00D427AD"/>
    <w:rsid w:val="00D448F5"/>
    <w:rsid w:val="00D62099"/>
    <w:rsid w:val="00D6462C"/>
    <w:rsid w:val="00D83DCA"/>
    <w:rsid w:val="00D86B03"/>
    <w:rsid w:val="00D86D27"/>
    <w:rsid w:val="00D94F35"/>
    <w:rsid w:val="00DA049C"/>
    <w:rsid w:val="00DA2941"/>
    <w:rsid w:val="00DD246B"/>
    <w:rsid w:val="00DD5DBD"/>
    <w:rsid w:val="00DE45EC"/>
    <w:rsid w:val="00E02677"/>
    <w:rsid w:val="00E435DE"/>
    <w:rsid w:val="00E474E5"/>
    <w:rsid w:val="00E51C96"/>
    <w:rsid w:val="00E6485E"/>
    <w:rsid w:val="00E77265"/>
    <w:rsid w:val="00E926CA"/>
    <w:rsid w:val="00ED60F7"/>
    <w:rsid w:val="00EE39EB"/>
    <w:rsid w:val="00EF6B2D"/>
    <w:rsid w:val="00F00CF2"/>
    <w:rsid w:val="00F108D3"/>
    <w:rsid w:val="00F14A49"/>
    <w:rsid w:val="00F178A4"/>
    <w:rsid w:val="00F547FF"/>
    <w:rsid w:val="00F76C02"/>
    <w:rsid w:val="00F80514"/>
    <w:rsid w:val="00F84A04"/>
    <w:rsid w:val="00F969A1"/>
    <w:rsid w:val="00F97C46"/>
    <w:rsid w:val="00FC05C1"/>
    <w:rsid w:val="00FD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D3B8"/>
  <w15:docId w15:val="{8C9DE9F3-32D7-4A6E-A595-809DA8E0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43EF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9B7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6C"/>
    <w:pPr>
      <w:ind w:left="720"/>
      <w:contextualSpacing/>
    </w:pPr>
  </w:style>
  <w:style w:type="character" w:styleId="CommentReference">
    <w:name w:val="annotation reference"/>
    <w:basedOn w:val="DefaultParagraphFont"/>
    <w:uiPriority w:val="99"/>
    <w:semiHidden/>
    <w:unhideWhenUsed/>
    <w:rsid w:val="000B1A6C"/>
    <w:rPr>
      <w:sz w:val="16"/>
      <w:szCs w:val="16"/>
    </w:rPr>
  </w:style>
  <w:style w:type="paragraph" w:styleId="CommentText">
    <w:name w:val="annotation text"/>
    <w:basedOn w:val="Normal"/>
    <w:link w:val="CommentTextChar"/>
    <w:uiPriority w:val="99"/>
    <w:semiHidden/>
    <w:unhideWhenUsed/>
    <w:rsid w:val="000B1A6C"/>
    <w:pPr>
      <w:spacing w:line="240" w:lineRule="auto"/>
    </w:pPr>
    <w:rPr>
      <w:sz w:val="20"/>
      <w:szCs w:val="20"/>
    </w:rPr>
  </w:style>
  <w:style w:type="character" w:customStyle="1" w:styleId="CommentTextChar">
    <w:name w:val="Comment Text Char"/>
    <w:basedOn w:val="DefaultParagraphFont"/>
    <w:link w:val="CommentText"/>
    <w:uiPriority w:val="99"/>
    <w:semiHidden/>
    <w:rsid w:val="000B1A6C"/>
    <w:rPr>
      <w:sz w:val="20"/>
      <w:szCs w:val="20"/>
      <w:lang w:val="en-GB"/>
    </w:rPr>
  </w:style>
  <w:style w:type="paragraph" w:styleId="CommentSubject">
    <w:name w:val="annotation subject"/>
    <w:basedOn w:val="CommentText"/>
    <w:next w:val="CommentText"/>
    <w:link w:val="CommentSubjectChar"/>
    <w:uiPriority w:val="99"/>
    <w:semiHidden/>
    <w:unhideWhenUsed/>
    <w:rsid w:val="000B1A6C"/>
    <w:rPr>
      <w:b/>
      <w:bCs/>
    </w:rPr>
  </w:style>
  <w:style w:type="character" w:customStyle="1" w:styleId="CommentSubjectChar">
    <w:name w:val="Comment Subject Char"/>
    <w:basedOn w:val="CommentTextChar"/>
    <w:link w:val="CommentSubject"/>
    <w:uiPriority w:val="99"/>
    <w:semiHidden/>
    <w:rsid w:val="000B1A6C"/>
    <w:rPr>
      <w:b/>
      <w:bCs/>
      <w:sz w:val="20"/>
      <w:szCs w:val="20"/>
      <w:lang w:val="en-GB"/>
    </w:rPr>
  </w:style>
  <w:style w:type="paragraph" w:styleId="BalloonText">
    <w:name w:val="Balloon Text"/>
    <w:basedOn w:val="Normal"/>
    <w:link w:val="BalloonTextChar"/>
    <w:uiPriority w:val="99"/>
    <w:semiHidden/>
    <w:unhideWhenUsed/>
    <w:rsid w:val="000B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A6C"/>
    <w:rPr>
      <w:rFonts w:ascii="Segoe UI" w:hAnsi="Segoe UI" w:cs="Segoe UI"/>
      <w:sz w:val="18"/>
      <w:szCs w:val="18"/>
      <w:lang w:val="en-GB"/>
    </w:rPr>
  </w:style>
  <w:style w:type="paragraph" w:styleId="FootnoteText">
    <w:name w:val="footnote text"/>
    <w:basedOn w:val="Normal"/>
    <w:link w:val="FootnoteTextChar"/>
    <w:uiPriority w:val="99"/>
    <w:unhideWhenUsed/>
    <w:rsid w:val="000C3FBF"/>
    <w:pPr>
      <w:spacing w:after="0" w:line="240" w:lineRule="auto"/>
    </w:pPr>
    <w:rPr>
      <w:sz w:val="20"/>
      <w:szCs w:val="20"/>
    </w:rPr>
  </w:style>
  <w:style w:type="character" w:customStyle="1" w:styleId="FootnoteTextChar">
    <w:name w:val="Footnote Text Char"/>
    <w:basedOn w:val="DefaultParagraphFont"/>
    <w:link w:val="FootnoteText"/>
    <w:uiPriority w:val="99"/>
    <w:rsid w:val="000C3FBF"/>
    <w:rPr>
      <w:sz w:val="20"/>
      <w:szCs w:val="20"/>
      <w:lang w:val="en-GB"/>
    </w:rPr>
  </w:style>
  <w:style w:type="character" w:styleId="FootnoteReference">
    <w:name w:val="footnote reference"/>
    <w:basedOn w:val="DefaultParagraphFont"/>
    <w:uiPriority w:val="99"/>
    <w:semiHidden/>
    <w:unhideWhenUsed/>
    <w:rsid w:val="000C3FBF"/>
    <w:rPr>
      <w:vertAlign w:val="superscript"/>
    </w:rPr>
  </w:style>
  <w:style w:type="paragraph" w:styleId="Title">
    <w:name w:val="Title"/>
    <w:basedOn w:val="Normal"/>
    <w:next w:val="Normal"/>
    <w:link w:val="TitleChar"/>
    <w:uiPriority w:val="10"/>
    <w:qFormat/>
    <w:rsid w:val="005F5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772"/>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5F5772"/>
    <w:pPr>
      <w:spacing w:after="0" w:line="240" w:lineRule="auto"/>
    </w:pPr>
    <w:rPr>
      <w:lang w:val="en-GB"/>
    </w:rPr>
  </w:style>
  <w:style w:type="table" w:styleId="TableGrid">
    <w:name w:val="Table Grid"/>
    <w:basedOn w:val="TableNormal"/>
    <w:uiPriority w:val="39"/>
    <w:rsid w:val="0063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60"/>
    <w:rPr>
      <w:color w:val="0563C1" w:themeColor="hyperlink"/>
      <w:u w:val="single"/>
    </w:rPr>
  </w:style>
  <w:style w:type="character" w:customStyle="1" w:styleId="UnresolvedMention1">
    <w:name w:val="Unresolved Mention1"/>
    <w:basedOn w:val="DefaultParagraphFont"/>
    <w:uiPriority w:val="99"/>
    <w:semiHidden/>
    <w:unhideWhenUsed/>
    <w:rsid w:val="00B84EE8"/>
    <w:rPr>
      <w:color w:val="605E5C"/>
      <w:shd w:val="clear" w:color="auto" w:fill="E1DFDD"/>
    </w:rPr>
  </w:style>
  <w:style w:type="character" w:styleId="UnresolvedMention">
    <w:name w:val="Unresolved Mention"/>
    <w:basedOn w:val="DefaultParagraphFont"/>
    <w:uiPriority w:val="99"/>
    <w:semiHidden/>
    <w:unhideWhenUsed/>
    <w:rsid w:val="00136D44"/>
    <w:rPr>
      <w:color w:val="605E5C"/>
      <w:shd w:val="clear" w:color="auto" w:fill="E1DFDD"/>
    </w:rPr>
  </w:style>
  <w:style w:type="paragraph" w:styleId="Header">
    <w:name w:val="header"/>
    <w:basedOn w:val="Normal"/>
    <w:link w:val="HeaderChar"/>
    <w:uiPriority w:val="99"/>
    <w:unhideWhenUsed/>
    <w:rsid w:val="0065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68"/>
    <w:rPr>
      <w:lang w:val="en-GB"/>
    </w:rPr>
  </w:style>
  <w:style w:type="paragraph" w:styleId="Footer">
    <w:name w:val="footer"/>
    <w:basedOn w:val="Normal"/>
    <w:link w:val="FooterChar"/>
    <w:uiPriority w:val="99"/>
    <w:unhideWhenUsed/>
    <w:rsid w:val="0065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68"/>
    <w:rPr>
      <w:lang w:val="en-GB"/>
    </w:rPr>
  </w:style>
  <w:style w:type="character" w:customStyle="1" w:styleId="Heading1Char">
    <w:name w:val="Heading 1 Char"/>
    <w:basedOn w:val="DefaultParagraphFont"/>
    <w:link w:val="Heading1"/>
    <w:uiPriority w:val="9"/>
    <w:rsid w:val="00143EFE"/>
    <w:rPr>
      <w:rFonts w:asciiTheme="majorHAnsi" w:eastAsiaTheme="majorEastAsia" w:hAnsiTheme="majorHAnsi" w:cstheme="majorBidi"/>
      <w:b/>
      <w:sz w:val="32"/>
      <w:szCs w:val="32"/>
      <w:lang w:val="en-GB"/>
    </w:rPr>
  </w:style>
  <w:style w:type="paragraph" w:styleId="TOCHeading">
    <w:name w:val="TOC Heading"/>
    <w:basedOn w:val="Heading1"/>
    <w:next w:val="Normal"/>
    <w:uiPriority w:val="39"/>
    <w:unhideWhenUsed/>
    <w:qFormat/>
    <w:rsid w:val="00215B4F"/>
    <w:pPr>
      <w:outlineLvl w:val="9"/>
    </w:pPr>
    <w:rPr>
      <w:lang w:val="en-US"/>
    </w:rPr>
  </w:style>
  <w:style w:type="paragraph" w:styleId="TOC1">
    <w:name w:val="toc 1"/>
    <w:basedOn w:val="Normal"/>
    <w:next w:val="Normal"/>
    <w:autoRedefine/>
    <w:uiPriority w:val="39"/>
    <w:unhideWhenUsed/>
    <w:rsid w:val="00C24AFB"/>
    <w:pPr>
      <w:spacing w:after="100"/>
    </w:pPr>
  </w:style>
  <w:style w:type="character" w:customStyle="1" w:styleId="Heading2Char">
    <w:name w:val="Heading 2 Char"/>
    <w:basedOn w:val="DefaultParagraphFont"/>
    <w:link w:val="Heading2"/>
    <w:uiPriority w:val="9"/>
    <w:semiHidden/>
    <w:rsid w:val="009B7167"/>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CAB30FA004645936DCB32EA2C72B6" ma:contentTypeVersion="4" ma:contentTypeDescription="Create a new document." ma:contentTypeScope="" ma:versionID="39e805c3ddc9fca35dbd604350a8a1b4">
  <xsd:schema xmlns:xsd="http://www.w3.org/2001/XMLSchema" xmlns:xs="http://www.w3.org/2001/XMLSchema" xmlns:p="http://schemas.microsoft.com/office/2006/metadata/properties" xmlns:ns3="fdc78b67-18a4-4ab4-a2d9-d32c513c96a3" targetNamespace="http://schemas.microsoft.com/office/2006/metadata/properties" ma:root="true" ma:fieldsID="84a19555afe03c0511f1ffbdf3a246d0" ns3:_="">
    <xsd:import namespace="fdc78b67-18a4-4ab4-a2d9-d32c513c9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78b67-18a4-4ab4-a2d9-d32c513c9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1874F-4D06-4496-AEBB-E9267C10701B}">
  <ds:schemaRefs>
    <ds:schemaRef ds:uri="http://schemas.openxmlformats.org/officeDocument/2006/bibliography"/>
  </ds:schemaRefs>
</ds:datastoreItem>
</file>

<file path=customXml/itemProps2.xml><?xml version="1.0" encoding="utf-8"?>
<ds:datastoreItem xmlns:ds="http://schemas.openxmlformats.org/officeDocument/2006/customXml" ds:itemID="{93B32042-9DDC-485F-9113-8A76FFE73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AA7ED-5F03-477B-BEAF-E6835261B973}">
  <ds:schemaRefs>
    <ds:schemaRef ds:uri="http://schemas.microsoft.com/sharepoint/v3/contenttype/forms"/>
  </ds:schemaRefs>
</ds:datastoreItem>
</file>

<file path=customXml/itemProps4.xml><?xml version="1.0" encoding="utf-8"?>
<ds:datastoreItem xmlns:ds="http://schemas.openxmlformats.org/officeDocument/2006/customXml" ds:itemID="{3EAD12A2-354F-4515-9231-073442A9D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78b67-18a4-4ab4-a2d9-d32c513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Bugeja</dc:creator>
  <cp:lastModifiedBy>Bugeja George at MCST</cp:lastModifiedBy>
  <cp:revision>4</cp:revision>
  <dcterms:created xsi:type="dcterms:W3CDTF">2020-08-26T08:20:00Z</dcterms:created>
  <dcterms:modified xsi:type="dcterms:W3CDTF">2020-08-31T07:00:00Z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0x010100FBECAB30FA004645936DCB32EA2C72B6</vt:lpwstr>
  </property>
</Properties>
</file>